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10"/>
        <w:spacing w:before="145" w:line="221" w:lineRule="auto"/>
        <w:rPr>
          <w:rFonts w:ascii="SimHei" w:hAnsi="SimHei" w:eastAsia="SimHei" w:cs="SimHei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1"/>
        </w:rPr>
        <w:t>东南大学2024年招收台湾地区高中毕业生简章</w:t>
      </w:r>
    </w:p>
    <w:p>
      <w:pPr>
        <w:spacing w:line="386" w:lineRule="auto"/>
        <w:rPr>
          <w:rFonts w:ascii="Arial"/>
          <w:sz w:val="21"/>
        </w:rPr>
      </w:pPr>
      <w:r/>
    </w:p>
    <w:p>
      <w:pPr>
        <w:pStyle w:val="BodyText"/>
        <w:ind w:left="585"/>
        <w:spacing w:before="91" w:line="219" w:lineRule="auto"/>
        <w:rPr/>
      </w:pPr>
      <w:r>
        <w:rPr>
          <w:spacing w:val="-2"/>
        </w:rPr>
        <w:t>东南大学坐落于六朝古都南京，是享誉海内外的著名高</w:t>
      </w:r>
      <w:r>
        <w:rPr>
          <w:spacing w:val="-3"/>
        </w:rPr>
        <w:t>等学</w:t>
      </w:r>
    </w:p>
    <w:p>
      <w:pPr>
        <w:pStyle w:val="BodyText"/>
        <w:ind w:left="24" w:right="216"/>
        <w:spacing w:before="289" w:line="400" w:lineRule="auto"/>
        <w:rPr/>
      </w:pPr>
      <w:r>
        <w:rPr>
          <w:spacing w:val="-1"/>
        </w:rPr>
        <w:t>府。学校是国家教育部直属并与江苏省共建的全国重点大</w:t>
      </w:r>
      <w:r>
        <w:rPr>
          <w:spacing w:val="-2"/>
        </w:rPr>
        <w:t>学，是国</w:t>
      </w:r>
      <w:r>
        <w:rPr/>
        <w:t xml:space="preserve"> </w:t>
      </w:r>
      <w:r>
        <w:rPr>
          <w:spacing w:val="4"/>
        </w:rPr>
        <w:t>家“985工程”和“211工程”重点建设大学之一。2017年，东南</w:t>
      </w:r>
      <w:r>
        <w:rPr>
          <w:spacing w:val="16"/>
        </w:rPr>
        <w:t xml:space="preserve"> </w:t>
      </w:r>
      <w:r>
        <w:rPr/>
        <w:t>大学入选世界一流大学建设</w:t>
      </w:r>
      <w:r>
        <w:rPr>
          <w:rFonts w:ascii="Times New Roman" w:hAnsi="Times New Roman" w:eastAsia="Times New Roman" w:cs="Times New Roman"/>
        </w:rPr>
        <w:t>A</w:t>
      </w:r>
      <w:r>
        <w:rPr/>
        <w:t>类高校名单。</w:t>
      </w:r>
    </w:p>
    <w:p>
      <w:pPr>
        <w:pStyle w:val="BodyText"/>
        <w:ind w:left="24" w:right="235" w:firstLine="560"/>
        <w:spacing w:before="327" w:line="400" w:lineRule="auto"/>
        <w:jc w:val="both"/>
        <w:rPr/>
      </w:pPr>
      <w:r>
        <w:rPr>
          <w:spacing w:val="-2"/>
        </w:rPr>
        <w:t>东南大学为教育部批准开展“依据台湾地区大学入学考试学科</w:t>
      </w:r>
      <w:r>
        <w:rPr>
          <w:spacing w:val="2"/>
        </w:rPr>
        <w:t xml:space="preserve"> </w:t>
      </w:r>
      <w:r>
        <w:rPr>
          <w:spacing w:val="-2"/>
        </w:rPr>
        <w:t>能力测试成绩招收台湾高中毕业生”的学校之一。根据教育</w:t>
      </w:r>
      <w:r>
        <w:rPr>
          <w:spacing w:val="-3"/>
        </w:rPr>
        <w:t>部相关</w:t>
      </w:r>
      <w:r>
        <w:rPr/>
        <w:t xml:space="preserve"> </w:t>
      </w:r>
      <w:r>
        <w:rPr>
          <w:spacing w:val="-5"/>
        </w:rPr>
        <w:t>文件精神，特制定本简章。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589"/>
        <w:spacing w:before="91" w:line="219" w:lineRule="auto"/>
        <w:outlineLvl w:val="0"/>
        <w:rPr/>
      </w:pPr>
      <w:r>
        <w:rPr>
          <w:b/>
          <w:bCs/>
          <w:spacing w:val="-7"/>
        </w:rPr>
        <w:t>第一条</w:t>
      </w:r>
      <w:r>
        <w:rPr>
          <w:spacing w:val="135"/>
        </w:rPr>
        <w:t xml:space="preserve"> </w:t>
      </w:r>
      <w:r>
        <w:rPr>
          <w:b/>
          <w:bCs/>
          <w:spacing w:val="-7"/>
        </w:rPr>
        <w:t>申请条件</w:t>
      </w:r>
    </w:p>
    <w:p>
      <w:pPr>
        <w:spacing w:line="458" w:lineRule="auto"/>
        <w:rPr>
          <w:rFonts w:ascii="Arial"/>
          <w:sz w:val="21"/>
        </w:rPr>
      </w:pPr>
      <w:r/>
    </w:p>
    <w:p>
      <w:pPr>
        <w:pStyle w:val="BodyText"/>
        <w:ind w:left="585"/>
        <w:spacing w:before="91" w:line="219" w:lineRule="auto"/>
        <w:rPr/>
      </w:pPr>
      <w:r>
        <w:rPr>
          <w:spacing w:val="-4"/>
        </w:rPr>
        <w:t>1、拥护“一国两制”和国家统一的台湾学生；</w:t>
      </w:r>
    </w:p>
    <w:p>
      <w:pPr>
        <w:spacing w:line="467" w:lineRule="auto"/>
        <w:rPr>
          <w:rFonts w:ascii="Arial"/>
          <w:sz w:val="21"/>
        </w:rPr>
      </w:pPr>
      <w:r/>
    </w:p>
    <w:p>
      <w:pPr>
        <w:pStyle w:val="BodyText"/>
        <w:ind w:left="24" w:right="158" w:firstLine="560"/>
        <w:spacing w:before="91" w:line="403" w:lineRule="auto"/>
        <w:rPr/>
      </w:pPr>
      <w:r>
        <w:rPr>
          <w:spacing w:val="1"/>
        </w:rPr>
        <w:t>2、持有《台湾居民居住证》或《台湾居民往来大陆通行</w:t>
      </w:r>
      <w:r>
        <w:rPr/>
        <w:t>证》, </w:t>
      </w:r>
      <w:r>
        <w:rPr>
          <w:spacing w:val="-2"/>
        </w:rPr>
        <w:t>以及在台湾居住的有效身份证明，参加当年台湾地区大学入学考试</w:t>
      </w:r>
      <w:r>
        <w:rPr>
          <w:spacing w:val="14"/>
        </w:rPr>
        <w:t xml:space="preserve"> </w:t>
      </w:r>
      <w:r>
        <w:rPr>
          <w:spacing w:val="13"/>
        </w:rPr>
        <w:t>学科能力测试(简称学测),相应科目成绩要</w:t>
      </w:r>
      <w:r>
        <w:rPr>
          <w:spacing w:val="12"/>
        </w:rPr>
        <w:t>求达到我校相关专业</w:t>
      </w:r>
      <w:r>
        <w:rPr/>
        <w:t xml:space="preserve"> </w:t>
      </w:r>
      <w:r>
        <w:rPr/>
        <w:t>报考要求的台湾高中毕业生。考生所持证件须与考生本人信息一</w:t>
      </w:r>
    </w:p>
    <w:p>
      <w:pPr>
        <w:pStyle w:val="BodyText"/>
        <w:ind w:left="24"/>
        <w:spacing w:before="42" w:line="219" w:lineRule="auto"/>
        <w:rPr/>
      </w:pPr>
      <w:r>
        <w:rPr>
          <w:spacing w:val="-5"/>
        </w:rPr>
        <w:t>致，且在有效期之内。</w:t>
      </w:r>
    </w:p>
    <w:p>
      <w:pPr>
        <w:spacing w:line="479" w:lineRule="auto"/>
        <w:rPr>
          <w:rFonts w:ascii="Arial"/>
          <w:sz w:val="21"/>
        </w:rPr>
      </w:pPr>
      <w:r/>
    </w:p>
    <w:p>
      <w:pPr>
        <w:pStyle w:val="BodyText"/>
        <w:ind w:left="589"/>
        <w:spacing w:before="92" w:line="219" w:lineRule="auto"/>
        <w:outlineLvl w:val="0"/>
        <w:rPr/>
      </w:pPr>
      <w:r>
        <w:rPr>
          <w:b/>
          <w:bCs/>
          <w:spacing w:val="24"/>
        </w:rPr>
        <w:t>第二条招生计划及专业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994"/>
        <w:spacing w:before="92" w:line="219" w:lineRule="auto"/>
        <w:rPr/>
      </w:pPr>
      <w:r>
        <w:rPr>
          <w:spacing w:val="5"/>
        </w:rPr>
        <w:t>2024年计划在台湾地区招收10人。具体招生专业如下：</w:t>
      </w:r>
    </w:p>
    <w:p>
      <w:pPr>
        <w:spacing w:line="219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spacing w:line="37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4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2947"/>
        <w:gridCol w:w="939"/>
        <w:gridCol w:w="1319"/>
        <w:gridCol w:w="1409"/>
        <w:gridCol w:w="3272"/>
      </w:tblGrid>
      <w:tr>
        <w:trPr>
          <w:trHeight w:val="1434" w:hRule="atLeast"/>
        </w:trPr>
        <w:tc>
          <w:tcPr>
            <w:tcW w:w="604" w:type="dxa"/>
            <w:vAlign w:val="top"/>
            <w:textDirection w:val="tbRlV"/>
          </w:tcPr>
          <w:p>
            <w:pPr>
              <w:ind w:left="237"/>
              <w:spacing w:before="185" w:line="19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-3"/>
              </w:rPr>
              <w:t>序</w:t>
            </w:r>
            <w:r>
              <w:rPr>
                <w:rFonts w:ascii="SimSun" w:hAnsi="SimSun" w:eastAsia="SimSun" w:cs="SimSun"/>
                <w:sz w:val="27"/>
                <w:szCs w:val="27"/>
                <w:spacing w:val="65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-3"/>
              </w:rPr>
              <w:t>号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524"/>
              <w:spacing w:before="8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-5"/>
              </w:rPr>
              <w:t>招生专业类名称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197"/>
              <w:spacing w:before="88" w:line="220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4"/>
              </w:rPr>
              <w:t>学制</w:t>
            </w:r>
          </w:p>
        </w:tc>
        <w:tc>
          <w:tcPr>
            <w:tcW w:w="1319" w:type="dxa"/>
            <w:vAlign w:val="top"/>
          </w:tcPr>
          <w:p>
            <w:pPr>
              <w:ind w:left="388" w:right="365"/>
              <w:spacing w:before="222" w:line="410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-9"/>
              </w:rPr>
              <w:t>专业</w:t>
            </w:r>
            <w:r>
              <w:rPr>
                <w:rFonts w:ascii="SimSun" w:hAnsi="SimSun" w:eastAsia="SimSun" w:cs="SimSun"/>
                <w:sz w:val="27"/>
                <w:szCs w:val="27"/>
              </w:rPr>
              <w:t xml:space="preserve"> </w:t>
            </w: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4"/>
              </w:rPr>
              <w:t>类别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159"/>
              <w:spacing w:before="88" w:line="220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1"/>
              </w:rPr>
              <w:t>专业限制</w:t>
            </w:r>
          </w:p>
        </w:tc>
        <w:tc>
          <w:tcPr>
            <w:tcW w:w="3272" w:type="dxa"/>
            <w:vAlign w:val="top"/>
          </w:tcPr>
          <w:p>
            <w:pPr>
              <w:ind w:left="1360" w:right="1100" w:hanging="270"/>
              <w:spacing w:before="221" w:line="411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-6"/>
              </w:rPr>
              <w:t>选科报考</w:t>
            </w:r>
            <w:r>
              <w:rPr>
                <w:rFonts w:ascii="SimSun" w:hAnsi="SimSun" w:eastAsia="SimSun" w:cs="SimSun"/>
                <w:sz w:val="27"/>
                <w:szCs w:val="2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7"/>
                <w:szCs w:val="27"/>
                <w:b/>
                <w:bCs/>
                <w:spacing w:val="-6"/>
              </w:rPr>
              <w:t>要求</w:t>
            </w:r>
          </w:p>
        </w:tc>
      </w:tr>
      <w:tr>
        <w:trPr>
          <w:trHeight w:val="839" w:hRule="atLeast"/>
        </w:trPr>
        <w:tc>
          <w:tcPr>
            <w:tcW w:w="604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225"/>
              <w:spacing w:before="88" w:line="184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1</w:t>
            </w:r>
          </w:p>
        </w:tc>
        <w:tc>
          <w:tcPr>
            <w:tcW w:w="2947" w:type="dxa"/>
            <w:vAlign w:val="top"/>
          </w:tcPr>
          <w:p>
            <w:pPr>
              <w:ind w:left="1061"/>
              <w:spacing w:before="292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3"/>
              </w:rPr>
              <w:t>建筑类</w:t>
            </w:r>
          </w:p>
        </w:tc>
        <w:tc>
          <w:tcPr>
            <w:tcW w:w="939" w:type="dxa"/>
            <w:vAlign w:val="top"/>
          </w:tcPr>
          <w:p>
            <w:pPr>
              <w:ind w:left="194"/>
              <w:spacing w:before="292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5"/>
              </w:rPr>
              <w:t>五年</w:t>
            </w:r>
          </w:p>
        </w:tc>
        <w:tc>
          <w:tcPr>
            <w:tcW w:w="1319" w:type="dxa"/>
            <w:vAlign w:val="top"/>
          </w:tcPr>
          <w:p>
            <w:pPr>
              <w:ind w:left="245"/>
              <w:spacing w:before="292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3"/>
              </w:rPr>
              <w:t>理工类</w:t>
            </w:r>
          </w:p>
        </w:tc>
        <w:tc>
          <w:tcPr>
            <w:tcW w:w="1409" w:type="dxa"/>
            <w:vAlign w:val="top"/>
          </w:tcPr>
          <w:p>
            <w:pPr>
              <w:ind w:left="626"/>
              <w:spacing w:before="319" w:line="241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I</w:t>
            </w:r>
          </w:p>
        </w:tc>
        <w:tc>
          <w:tcPr>
            <w:tcW w:w="32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ind w:left="277" w:right="268" w:firstLine="199"/>
              <w:spacing w:before="87" w:line="418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>数学A成绩达到顶标</w:t>
            </w:r>
            <w:r>
              <w:rPr>
                <w:rFonts w:ascii="SimSun" w:hAnsi="SimSun" w:eastAsia="SimSun" w:cs="SimSun"/>
                <w:sz w:val="27"/>
                <w:szCs w:val="27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>级，语文、英文、自然</w:t>
            </w:r>
            <w:r>
              <w:rPr>
                <w:rFonts w:ascii="SimSun" w:hAnsi="SimSun" w:eastAsia="SimSun" w:cs="SimSun"/>
                <w:sz w:val="27"/>
                <w:szCs w:val="2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>三科成绩均达到前标级</w:t>
            </w:r>
          </w:p>
        </w:tc>
      </w:tr>
      <w:tr>
        <w:trPr>
          <w:trHeight w:val="2068" w:hRule="atLeast"/>
        </w:trPr>
        <w:tc>
          <w:tcPr>
            <w:tcW w:w="604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225"/>
              <w:spacing w:before="88" w:line="183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2</w:t>
            </w:r>
          </w:p>
        </w:tc>
        <w:tc>
          <w:tcPr>
            <w:tcW w:w="2947" w:type="dxa"/>
            <w:vAlign w:val="top"/>
          </w:tcPr>
          <w:p>
            <w:pPr>
              <w:ind w:left="791"/>
              <w:spacing w:before="251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2"/>
              </w:rPr>
              <w:t>工科试验班</w:t>
            </w:r>
          </w:p>
          <w:p>
            <w:pPr>
              <w:ind w:left="310"/>
              <w:spacing w:before="312" w:line="220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>(碳中和与智能制造</w:t>
            </w:r>
          </w:p>
          <w:p>
            <w:pPr>
              <w:ind w:left="991"/>
              <w:spacing w:before="298" w:line="220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3"/>
              </w:rPr>
              <w:t>实验班)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194"/>
              <w:spacing w:before="8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5"/>
              </w:rPr>
              <w:t>四年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245"/>
              <w:spacing w:before="8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3"/>
              </w:rPr>
              <w:t>理工类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496"/>
              <w:spacing w:before="88" w:line="235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5"/>
              </w:rPr>
              <w:t>IⅡ</w:t>
            </w:r>
          </w:p>
        </w:tc>
        <w:tc>
          <w:tcPr>
            <w:tcW w:w="32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058" w:hRule="atLeast"/>
        </w:trPr>
        <w:tc>
          <w:tcPr>
            <w:tcW w:w="604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225"/>
              <w:spacing w:before="88" w:line="183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3</w:t>
            </w:r>
          </w:p>
        </w:tc>
        <w:tc>
          <w:tcPr>
            <w:tcW w:w="2947" w:type="dxa"/>
            <w:vAlign w:val="top"/>
          </w:tcPr>
          <w:p>
            <w:pPr>
              <w:ind w:left="791"/>
              <w:spacing w:before="253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2"/>
              </w:rPr>
              <w:t>工科试验班</w:t>
            </w:r>
          </w:p>
          <w:p>
            <w:pPr>
              <w:ind w:left="310"/>
              <w:spacing w:before="309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>(土木交通材料实验</w:t>
            </w:r>
          </w:p>
          <w:p>
            <w:pPr>
              <w:ind w:left="1261"/>
              <w:spacing w:before="292" w:line="221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5"/>
              </w:rPr>
              <w:t>班</w:t>
            </w:r>
            <w:r>
              <w:rPr>
                <w:rFonts w:ascii="SimSun" w:hAnsi="SimSun" w:eastAsia="SimSun" w:cs="SimSun"/>
                <w:sz w:val="27"/>
                <w:szCs w:val="27"/>
                <w:spacing w:val="-60"/>
              </w:rPr>
              <w:t xml:space="preserve"> </w:t>
            </w:r>
            <w:r>
              <w:rPr>
                <w:rFonts w:ascii="SimSun" w:hAnsi="SimSun" w:eastAsia="SimSun" w:cs="SimSun"/>
                <w:sz w:val="27"/>
                <w:szCs w:val="27"/>
                <w:spacing w:val="-5"/>
              </w:rPr>
              <w:t>)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194"/>
              <w:spacing w:before="8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5"/>
              </w:rPr>
              <w:t>四年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245"/>
              <w:spacing w:before="8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3"/>
              </w:rPr>
              <w:t>理工类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566"/>
              <w:spacing w:before="88" w:line="235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Ⅲ</w:t>
            </w:r>
          </w:p>
        </w:tc>
        <w:tc>
          <w:tcPr>
            <w:tcW w:w="32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604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225"/>
              <w:spacing w:before="88" w:line="183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4</w:t>
            </w:r>
          </w:p>
        </w:tc>
        <w:tc>
          <w:tcPr>
            <w:tcW w:w="2947" w:type="dxa"/>
            <w:vAlign w:val="top"/>
          </w:tcPr>
          <w:p>
            <w:pPr>
              <w:ind w:left="791"/>
              <w:spacing w:before="287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2"/>
              </w:rPr>
              <w:t>电子信息类</w:t>
            </w:r>
          </w:p>
        </w:tc>
        <w:tc>
          <w:tcPr>
            <w:tcW w:w="939" w:type="dxa"/>
            <w:vAlign w:val="top"/>
          </w:tcPr>
          <w:p>
            <w:pPr>
              <w:ind w:left="194"/>
              <w:spacing w:before="287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5"/>
              </w:rPr>
              <w:t>四年</w:t>
            </w:r>
          </w:p>
        </w:tc>
        <w:tc>
          <w:tcPr>
            <w:tcW w:w="1319" w:type="dxa"/>
            <w:vAlign w:val="top"/>
          </w:tcPr>
          <w:p>
            <w:pPr>
              <w:ind w:left="245"/>
              <w:spacing w:before="287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3"/>
              </w:rPr>
              <w:t>理工类</w:t>
            </w:r>
          </w:p>
        </w:tc>
        <w:tc>
          <w:tcPr>
            <w:tcW w:w="1409" w:type="dxa"/>
            <w:vAlign w:val="top"/>
          </w:tcPr>
          <w:p>
            <w:pPr>
              <w:ind w:left="496"/>
              <w:spacing w:before="310" w:line="235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5"/>
              </w:rPr>
              <w:t>IⅡ</w:t>
            </w:r>
          </w:p>
        </w:tc>
        <w:tc>
          <w:tcPr>
            <w:tcW w:w="32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40" w:hRule="atLeast"/>
        </w:trPr>
        <w:tc>
          <w:tcPr>
            <w:tcW w:w="604" w:type="dxa"/>
            <w:vAlign w:val="top"/>
          </w:tcPr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225"/>
              <w:spacing w:before="88" w:line="182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5</w:t>
            </w:r>
          </w:p>
        </w:tc>
        <w:tc>
          <w:tcPr>
            <w:tcW w:w="2947" w:type="dxa"/>
            <w:vAlign w:val="top"/>
          </w:tcPr>
          <w:p>
            <w:pPr>
              <w:ind w:left="920"/>
              <w:spacing w:before="296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2"/>
              </w:rPr>
              <w:t>计算机类</w:t>
            </w:r>
          </w:p>
        </w:tc>
        <w:tc>
          <w:tcPr>
            <w:tcW w:w="939" w:type="dxa"/>
            <w:vAlign w:val="top"/>
          </w:tcPr>
          <w:p>
            <w:pPr>
              <w:ind w:left="194"/>
              <w:spacing w:before="29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5"/>
              </w:rPr>
              <w:t>四年</w:t>
            </w:r>
          </w:p>
        </w:tc>
        <w:tc>
          <w:tcPr>
            <w:tcW w:w="1319" w:type="dxa"/>
            <w:vAlign w:val="top"/>
          </w:tcPr>
          <w:p>
            <w:pPr>
              <w:ind w:left="245"/>
              <w:spacing w:before="29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3"/>
              </w:rPr>
              <w:t>理工类</w:t>
            </w:r>
          </w:p>
        </w:tc>
        <w:tc>
          <w:tcPr>
            <w:tcW w:w="1409" w:type="dxa"/>
            <w:vAlign w:val="top"/>
          </w:tcPr>
          <w:p>
            <w:pPr>
              <w:ind w:left="566"/>
              <w:spacing w:before="321" w:line="235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Ⅲ</w:t>
            </w:r>
          </w:p>
        </w:tc>
        <w:tc>
          <w:tcPr>
            <w:tcW w:w="327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09" w:hRule="atLeast"/>
        </w:trPr>
        <w:tc>
          <w:tcPr>
            <w:tcW w:w="604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225"/>
              <w:spacing w:before="88" w:line="183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6</w:t>
            </w:r>
          </w:p>
        </w:tc>
        <w:tc>
          <w:tcPr>
            <w:tcW w:w="2947" w:type="dxa"/>
            <w:vAlign w:val="top"/>
          </w:tcPr>
          <w:p>
            <w:pPr>
              <w:ind w:left="791"/>
              <w:spacing w:before="276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2"/>
              </w:rPr>
              <w:t>理科试验班</w:t>
            </w:r>
          </w:p>
        </w:tc>
        <w:tc>
          <w:tcPr>
            <w:tcW w:w="939" w:type="dxa"/>
            <w:vAlign w:val="top"/>
          </w:tcPr>
          <w:p>
            <w:pPr>
              <w:ind w:left="194"/>
              <w:spacing w:before="27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5"/>
              </w:rPr>
              <w:t>四年</w:t>
            </w:r>
          </w:p>
        </w:tc>
        <w:tc>
          <w:tcPr>
            <w:tcW w:w="1319" w:type="dxa"/>
            <w:vAlign w:val="top"/>
          </w:tcPr>
          <w:p>
            <w:pPr>
              <w:ind w:left="245"/>
              <w:spacing w:before="27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3"/>
              </w:rPr>
              <w:t>理工类</w:t>
            </w:r>
          </w:p>
        </w:tc>
        <w:tc>
          <w:tcPr>
            <w:tcW w:w="1409" w:type="dxa"/>
            <w:vAlign w:val="top"/>
          </w:tcPr>
          <w:p>
            <w:pPr>
              <w:ind w:left="496"/>
              <w:spacing w:before="301" w:line="235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5"/>
              </w:rPr>
              <w:t>IⅡ</w:t>
            </w:r>
          </w:p>
        </w:tc>
        <w:tc>
          <w:tcPr>
            <w:tcW w:w="327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713" w:hRule="atLeast"/>
        </w:trPr>
        <w:tc>
          <w:tcPr>
            <w:tcW w:w="604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225"/>
              <w:spacing w:before="87" w:line="182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7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ind w:left="651"/>
              <w:spacing w:before="8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>文科试验班类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ind w:left="194"/>
              <w:spacing w:before="8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5"/>
              </w:rPr>
              <w:t>四年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ind w:left="245"/>
              <w:spacing w:before="88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3"/>
              </w:rPr>
              <w:t>文史类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line="289" w:lineRule="auto"/>
              <w:rPr/>
            </w:pPr>
            <w:r/>
          </w:p>
          <w:p>
            <w:pPr>
              <w:pStyle w:val="TableText"/>
              <w:spacing w:line="289" w:lineRule="auto"/>
              <w:rPr/>
            </w:pPr>
            <w:r/>
          </w:p>
          <w:p>
            <w:pPr>
              <w:pStyle w:val="TableText"/>
              <w:spacing w:line="289" w:lineRule="auto"/>
              <w:rPr/>
            </w:pPr>
            <w:r/>
          </w:p>
          <w:p>
            <w:pPr>
              <w:pStyle w:val="TableText"/>
              <w:spacing w:line="290" w:lineRule="auto"/>
              <w:rPr/>
            </w:pPr>
            <w:r/>
          </w:p>
          <w:p>
            <w:pPr>
              <w:ind w:left="566"/>
              <w:spacing w:before="88" w:line="235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</w:rPr>
              <w:t>Ⅲ</w:t>
            </w:r>
          </w:p>
        </w:tc>
        <w:tc>
          <w:tcPr>
            <w:tcW w:w="3272" w:type="dxa"/>
            <w:vAlign w:val="top"/>
          </w:tcPr>
          <w:p>
            <w:pPr>
              <w:ind w:left="347"/>
              <w:spacing w:before="279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1"/>
              </w:rPr>
              <w:t>语文成绩达到顶标级，</w:t>
            </w:r>
          </w:p>
          <w:p>
            <w:pPr>
              <w:ind w:left="277"/>
              <w:spacing w:before="309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2"/>
              </w:rPr>
              <w:t>数学A或数学B、英文、</w:t>
            </w:r>
          </w:p>
          <w:p>
            <w:pPr>
              <w:ind w:left="277"/>
              <w:spacing w:before="297" w:line="219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>社会三科成绩均达到前</w:t>
            </w:r>
          </w:p>
          <w:p>
            <w:pPr>
              <w:ind w:left="1357"/>
              <w:spacing w:before="282" w:line="220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8"/>
              </w:rPr>
              <w:t>标级</w:t>
            </w:r>
          </w:p>
        </w:tc>
      </w:tr>
    </w:tbl>
    <w:p>
      <w:pPr>
        <w:spacing w:line="392" w:lineRule="auto"/>
        <w:rPr>
          <w:rFonts w:ascii="Arial"/>
          <w:sz w:val="21"/>
        </w:rPr>
      </w:pPr>
      <w:r/>
    </w:p>
    <w:p>
      <w:pPr>
        <w:ind w:left="1335"/>
        <w:spacing w:before="68" w:line="224" w:lineRule="auto"/>
        <w:rPr>
          <w:rFonts w:ascii="FangSong" w:hAnsi="FangSong" w:eastAsia="FangSong" w:cs="FangSong"/>
          <w:sz w:val="21"/>
          <w:szCs w:val="21"/>
        </w:rPr>
      </w:pPr>
      <w:r>
        <w:rPr>
          <w:rFonts w:ascii="FangSong" w:hAnsi="FangSong" w:eastAsia="FangSong" w:cs="FangSong"/>
          <w:sz w:val="21"/>
          <w:szCs w:val="21"/>
          <w:spacing w:val="-14"/>
        </w:rPr>
        <w:t>说</w:t>
      </w:r>
      <w:r>
        <w:rPr>
          <w:rFonts w:ascii="FangSong" w:hAnsi="FangSong" w:eastAsia="FangSong" w:cs="FangSong"/>
          <w:sz w:val="21"/>
          <w:szCs w:val="21"/>
          <w:spacing w:val="5"/>
        </w:rPr>
        <w:t xml:space="preserve"> </w:t>
      </w:r>
      <w:r>
        <w:rPr>
          <w:rFonts w:ascii="FangSong" w:hAnsi="FangSong" w:eastAsia="FangSong" w:cs="FangSong"/>
          <w:sz w:val="21"/>
          <w:szCs w:val="21"/>
          <w:spacing w:val="-14"/>
        </w:rPr>
        <w:t>明</w:t>
      </w:r>
      <w:r>
        <w:rPr>
          <w:rFonts w:ascii="FangSong" w:hAnsi="FangSong" w:eastAsia="FangSong" w:cs="FangSong"/>
          <w:sz w:val="21"/>
          <w:szCs w:val="21"/>
          <w:spacing w:val="-22"/>
        </w:rPr>
        <w:t xml:space="preserve"> </w:t>
      </w:r>
      <w:r>
        <w:rPr>
          <w:rFonts w:ascii="FangSong" w:hAnsi="FangSong" w:eastAsia="FangSong" w:cs="FangSong"/>
          <w:sz w:val="21"/>
          <w:szCs w:val="21"/>
          <w:spacing w:val="-14"/>
        </w:rPr>
        <w:t>：</w:t>
      </w:r>
    </w:p>
    <w:p>
      <w:pPr>
        <w:spacing w:line="224" w:lineRule="auto"/>
        <w:sectPr>
          <w:pgSz w:w="11900" w:h="16840"/>
          <w:pgMar w:top="1431" w:right="704" w:bottom="0" w:left="694" w:header="0" w:footer="0" w:gutter="0"/>
        </w:sectPr>
        <w:rPr>
          <w:rFonts w:ascii="FangSong" w:hAnsi="FangSong" w:eastAsia="FangSong" w:cs="FangSong"/>
          <w:sz w:val="21"/>
          <w:szCs w:val="21"/>
        </w:rPr>
      </w:pPr>
    </w:p>
    <w:p>
      <w:pPr>
        <w:ind w:left="245"/>
        <w:spacing w:before="175" w:line="221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8"/>
        </w:rPr>
        <w:t>(1)按大类招生的学生，实行专业大类内统</w:t>
      </w:r>
      <w:r>
        <w:rPr>
          <w:rFonts w:ascii="FangSong" w:hAnsi="FangSong" w:eastAsia="FangSong" w:cs="FangSong"/>
          <w:sz w:val="27"/>
          <w:szCs w:val="27"/>
          <w:spacing w:val="7"/>
        </w:rPr>
        <w:t>一培养，大学一年级</w:t>
      </w:r>
    </w:p>
    <w:p>
      <w:pPr>
        <w:ind w:left="245" w:right="284" w:firstLine="139"/>
        <w:spacing w:before="306" w:line="420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27"/>
        </w:rPr>
        <w:t>(二年级)结束后(建筑类为入学一个月左右),参加本专业大</w:t>
      </w:r>
      <w:r>
        <w:rPr>
          <w:rFonts w:ascii="FangSong" w:hAnsi="FangSong" w:eastAsia="FangSong" w:cs="FangSong"/>
          <w:sz w:val="27"/>
          <w:szCs w:val="27"/>
          <w:spacing w:val="18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3"/>
        </w:rPr>
        <w:t>类的专业分流。</w:t>
      </w:r>
    </w:p>
    <w:p>
      <w:pPr>
        <w:pStyle w:val="BodyText"/>
        <w:ind w:left="245" w:right="152"/>
        <w:spacing w:before="233" w:line="416" w:lineRule="auto"/>
        <w:jc w:val="both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8"/>
        </w:rPr>
        <w:t>(2)体检标准按照教育部、卫生部、中国残疾人联合会制</w:t>
      </w:r>
      <w:r>
        <w:rPr>
          <w:rFonts w:ascii="FangSong" w:hAnsi="FangSong" w:eastAsia="FangSong" w:cs="FangSong"/>
          <w:sz w:val="27"/>
          <w:szCs w:val="27"/>
          <w:spacing w:val="7"/>
        </w:rPr>
        <w:t>定的《普</w:t>
      </w:r>
      <w:r>
        <w:rPr>
          <w:rFonts w:ascii="FangSong" w:hAnsi="FangSong" w:eastAsia="FangSong" w:cs="FangSong"/>
          <w:sz w:val="27"/>
          <w:szCs w:val="27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9"/>
        </w:rPr>
        <w:t>通高等学校招生体检工作指导意见》和有关规定及我校按要求制</w:t>
      </w:r>
      <w:r>
        <w:rPr>
          <w:rFonts w:ascii="FangSong" w:hAnsi="FangSong" w:eastAsia="FangSong" w:cs="FangSong"/>
          <w:sz w:val="27"/>
          <w:szCs w:val="27"/>
        </w:rPr>
        <w:t xml:space="preserve">  </w:t>
      </w:r>
      <w:r>
        <w:rPr>
          <w:rFonts w:ascii="FangSong" w:hAnsi="FangSong" w:eastAsia="FangSong" w:cs="FangSong"/>
          <w:sz w:val="27"/>
          <w:szCs w:val="27"/>
          <w:spacing w:val="8"/>
        </w:rPr>
        <w:t>订的补充规定执行。其中，</w:t>
      </w:r>
      <w:r>
        <w:rPr>
          <w:sz w:val="27"/>
          <w:szCs w:val="27"/>
          <w:spacing w:val="8"/>
        </w:rPr>
        <w:t>I </w:t>
      </w:r>
      <w:r>
        <w:rPr>
          <w:rFonts w:ascii="FangSong" w:hAnsi="FangSong" w:eastAsia="FangSong" w:cs="FangSong"/>
          <w:sz w:val="27"/>
          <w:szCs w:val="27"/>
          <w:spacing w:val="8"/>
        </w:rPr>
        <w:t>指色弱不能被录取，Ⅱ指色盲不能</w:t>
      </w:r>
      <w:r>
        <w:rPr>
          <w:rFonts w:ascii="FangSong" w:hAnsi="FangSong" w:eastAsia="FangSong" w:cs="FangSong"/>
          <w:sz w:val="27"/>
          <w:szCs w:val="27"/>
          <w:spacing w:val="5"/>
        </w:rPr>
        <w:t xml:space="preserve">  </w:t>
      </w:r>
      <w:r>
        <w:rPr>
          <w:rFonts w:ascii="FangSong" w:hAnsi="FangSong" w:eastAsia="FangSong" w:cs="FangSong"/>
          <w:sz w:val="27"/>
          <w:szCs w:val="27"/>
          <w:spacing w:val="7"/>
        </w:rPr>
        <w:t>被录取，Ⅲ指无法识别任何一种颜色的不能被录取。</w:t>
      </w:r>
    </w:p>
    <w:p>
      <w:pPr>
        <w:ind w:left="245"/>
        <w:spacing w:before="273" w:line="220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6"/>
        </w:rPr>
        <w:t>(3)招生专业类及相关政策如有变动，以最新公布为准。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88" w:line="219" w:lineRule="auto"/>
        <w:outlineLvl w:val="0"/>
        <w:rPr>
          <w:sz w:val="27"/>
          <w:szCs w:val="27"/>
        </w:rPr>
      </w:pPr>
      <w:r>
        <w:rPr>
          <w:sz w:val="27"/>
          <w:szCs w:val="27"/>
          <w:b/>
          <w:bCs/>
          <w:spacing w:val="10"/>
        </w:rPr>
        <w:t>第三条</w:t>
      </w:r>
      <w:r>
        <w:rPr>
          <w:sz w:val="27"/>
          <w:szCs w:val="27"/>
          <w:spacing w:val="122"/>
        </w:rPr>
        <w:t xml:space="preserve"> </w:t>
      </w:r>
      <w:r>
        <w:rPr>
          <w:sz w:val="27"/>
          <w:szCs w:val="27"/>
          <w:b/>
          <w:bCs/>
          <w:spacing w:val="10"/>
        </w:rPr>
        <w:t>申请程序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4" w:right="82" w:firstLine="570"/>
        <w:spacing w:before="88" w:line="410" w:lineRule="auto"/>
        <w:rPr>
          <w:sz w:val="27"/>
          <w:szCs w:val="27"/>
        </w:rPr>
      </w:pPr>
      <w:r>
        <w:rPr>
          <w:sz w:val="27"/>
          <w:szCs w:val="27"/>
          <w:spacing w:val="8"/>
        </w:rPr>
        <w:t>1、考生登录祖国大陆普通高校依据台湾地区学测成绩招收台湾</w:t>
      </w:r>
      <w:r>
        <w:rPr>
          <w:sz w:val="27"/>
          <w:szCs w:val="27"/>
          <w:spacing w:val="12"/>
        </w:rPr>
        <w:t xml:space="preserve"> </w:t>
      </w:r>
      <w:r>
        <w:rPr>
          <w:sz w:val="27"/>
          <w:szCs w:val="27"/>
          <w:spacing w:val="3"/>
        </w:rPr>
        <w:t>高中毕业生系统(网址：</w:t>
      </w:r>
      <w:hyperlink w:history="true" r:id="rId1">
        <w:r>
          <w:rPr>
            <w:rFonts w:ascii="Times New Roman" w:hAnsi="Times New Roman" w:eastAsia="Times New Roman" w:cs="Times New Roman"/>
            <w:sz w:val="27"/>
            <w:szCs w:val="27"/>
          </w:rPr>
          <w:t>https</w:t>
        </w:r>
        <w:r>
          <w:rPr>
            <w:rFonts w:ascii="Times New Roman" w:hAnsi="Times New Roman" w:eastAsia="Times New Roman" w:cs="Times New Roman"/>
            <w:sz w:val="27"/>
            <w:szCs w:val="27"/>
            <w:spacing w:val="3"/>
          </w:rPr>
          <w:t>://</w:t>
        </w:r>
        <w:r>
          <w:rPr>
            <w:rFonts w:ascii="Times New Roman" w:hAnsi="Times New Roman" w:eastAsia="Times New Roman" w:cs="Times New Roman"/>
            <w:sz w:val="27"/>
            <w:szCs w:val="27"/>
          </w:rPr>
          <w:t>www</w:t>
        </w:r>
        <w:r>
          <w:rPr>
            <w:rFonts w:ascii="Times New Roman" w:hAnsi="Times New Roman" w:eastAsia="Times New Roman" w:cs="Times New Roman"/>
            <w:sz w:val="27"/>
            <w:szCs w:val="27"/>
            <w:spacing w:val="3"/>
          </w:rPr>
          <w:t>.</w:t>
        </w:r>
        <w:r>
          <w:rPr>
            <w:rFonts w:ascii="Times New Roman" w:hAnsi="Times New Roman" w:eastAsia="Times New Roman" w:cs="Times New Roman"/>
            <w:sz w:val="27"/>
            <w:szCs w:val="27"/>
          </w:rPr>
          <w:t>gatzs</w:t>
        </w:r>
        <w:r>
          <w:rPr>
            <w:rFonts w:ascii="Times New Roman" w:hAnsi="Times New Roman" w:eastAsia="Times New Roman" w:cs="Times New Roman"/>
            <w:sz w:val="27"/>
            <w:szCs w:val="27"/>
            <w:spacing w:val="3"/>
          </w:rPr>
          <w:t>.</w:t>
        </w:r>
        <w:r>
          <w:rPr>
            <w:rFonts w:ascii="Times New Roman" w:hAnsi="Times New Roman" w:eastAsia="Times New Roman" w:cs="Times New Roman"/>
            <w:sz w:val="27"/>
            <w:szCs w:val="27"/>
          </w:rPr>
          <w:t>com</w:t>
        </w:r>
        <w:r>
          <w:rPr>
            <w:rFonts w:ascii="Times New Roman" w:hAnsi="Times New Roman" w:eastAsia="Times New Roman" w:cs="Times New Roman"/>
            <w:sz w:val="27"/>
            <w:szCs w:val="27"/>
            <w:spacing w:val="3"/>
          </w:rPr>
          <w:t>.</w:t>
        </w:r>
        <w:r>
          <w:rPr>
            <w:rFonts w:ascii="Times New Roman" w:hAnsi="Times New Roman" w:eastAsia="Times New Roman" w:cs="Times New Roman"/>
            <w:sz w:val="27"/>
            <w:szCs w:val="27"/>
          </w:rPr>
          <w:t>cn</w:t>
        </w:r>
        <w:r>
          <w:rPr>
            <w:rFonts w:ascii="Times New Roman" w:hAnsi="Times New Roman" w:eastAsia="Times New Roman" w:cs="Times New Roman"/>
            <w:sz w:val="27"/>
            <w:szCs w:val="27"/>
            <w:spacing w:val="3"/>
          </w:rPr>
          <w:t>/z/</w:t>
        </w:r>
        <w:r>
          <w:rPr>
            <w:rFonts w:ascii="Times New Roman" w:hAnsi="Times New Roman" w:eastAsia="Times New Roman" w:cs="Times New Roman"/>
            <w:sz w:val="27"/>
            <w:szCs w:val="27"/>
          </w:rPr>
          <w:t>tw</w:t>
        </w:r>
        <w:r>
          <w:rPr>
            <w:rFonts w:ascii="Times New Roman" w:hAnsi="Times New Roman" w:eastAsia="Times New Roman" w:cs="Times New Roman"/>
            <w:sz w:val="27"/>
            <w:szCs w:val="27"/>
            <w:spacing w:val="3"/>
          </w:rPr>
          <w:t>/</w:t>
        </w:r>
      </w:hyperlink>
      <w:r>
        <w:rPr>
          <w:rFonts w:ascii="Times New Roman" w:hAnsi="Times New Roman" w:eastAsia="Times New Roman" w:cs="Times New Roman"/>
          <w:sz w:val="27"/>
          <w:szCs w:val="27"/>
          <w:spacing w:val="3"/>
        </w:rPr>
        <w:t>) </w:t>
      </w:r>
      <w:r>
        <w:rPr>
          <w:rFonts w:ascii="Times New Roman" w:hAnsi="Times New Roman" w:eastAsia="Times New Roman" w:cs="Times New Roman"/>
          <w:sz w:val="27"/>
          <w:szCs w:val="27"/>
          <w:spacing w:val="2"/>
        </w:rPr>
        <w:t xml:space="preserve">              </w:t>
      </w:r>
      <w:r>
        <w:rPr>
          <w:sz w:val="27"/>
          <w:szCs w:val="27"/>
          <w:spacing w:val="2"/>
        </w:rPr>
        <w:t>进</w:t>
      </w:r>
      <w:r>
        <w:rPr>
          <w:sz w:val="27"/>
          <w:szCs w:val="27"/>
          <w:spacing w:val="-58"/>
        </w:rPr>
        <w:t xml:space="preserve"> </w:t>
      </w:r>
      <w:r>
        <w:rPr>
          <w:sz w:val="27"/>
          <w:szCs w:val="27"/>
          <w:spacing w:val="2"/>
        </w:rPr>
        <w:t>行</w:t>
      </w:r>
      <w:r>
        <w:rPr>
          <w:sz w:val="27"/>
          <w:szCs w:val="27"/>
        </w:rPr>
        <w:t xml:space="preserve">  </w:t>
      </w:r>
      <w:r>
        <w:rPr>
          <w:sz w:val="27"/>
          <w:szCs w:val="27"/>
          <w:spacing w:val="32"/>
        </w:rPr>
        <w:t>报名。报名时间为2024年3月1日至31日。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14" w:right="109" w:firstLine="570"/>
        <w:spacing w:before="89" w:line="419" w:lineRule="auto"/>
        <w:jc w:val="both"/>
        <w:rPr>
          <w:sz w:val="27"/>
          <w:szCs w:val="27"/>
        </w:rPr>
      </w:pPr>
      <w:r>
        <w:rPr>
          <w:sz w:val="27"/>
          <w:szCs w:val="27"/>
          <w:spacing w:val="7"/>
        </w:rPr>
        <w:t>2、考生须按照要求输入个人信息，上传个人证件、电子照片、</w:t>
      </w:r>
      <w:r>
        <w:rPr>
          <w:sz w:val="27"/>
          <w:szCs w:val="27"/>
          <w:spacing w:val="13"/>
        </w:rPr>
        <w:t xml:space="preserve"> </w:t>
      </w:r>
      <w:r>
        <w:rPr>
          <w:sz w:val="27"/>
          <w:szCs w:val="27"/>
          <w:spacing w:val="8"/>
        </w:rPr>
        <w:t>学测成绩、考生诚信承诺书等基本材料，提交成绩查验授权书及我  </w:t>
      </w:r>
      <w:r>
        <w:rPr>
          <w:sz w:val="27"/>
          <w:szCs w:val="27"/>
          <w:spacing w:val="9"/>
        </w:rPr>
        <w:t>校在系统中要求的其他材料。同时，考生应</w:t>
      </w:r>
      <w:r>
        <w:rPr>
          <w:sz w:val="27"/>
          <w:szCs w:val="27"/>
          <w:spacing w:val="8"/>
        </w:rPr>
        <w:t>按我校报考条件及相关</w:t>
      </w:r>
      <w:r>
        <w:rPr>
          <w:sz w:val="27"/>
          <w:szCs w:val="27"/>
        </w:rPr>
        <w:t xml:space="preserve">  </w:t>
      </w:r>
      <w:r>
        <w:rPr>
          <w:sz w:val="27"/>
          <w:szCs w:val="27"/>
          <w:spacing w:val="9"/>
        </w:rPr>
        <w:t>要求填报志愿。报名截止前，考生可修改基</w:t>
      </w:r>
      <w:r>
        <w:rPr>
          <w:sz w:val="27"/>
          <w:szCs w:val="27"/>
          <w:spacing w:val="8"/>
        </w:rPr>
        <w:t>本材料和其他材料。报</w:t>
      </w:r>
      <w:r>
        <w:rPr>
          <w:sz w:val="27"/>
          <w:szCs w:val="27"/>
        </w:rPr>
        <w:t xml:space="preserve">  </w:t>
      </w:r>
      <w:r>
        <w:rPr>
          <w:sz w:val="27"/>
          <w:szCs w:val="27"/>
          <w:spacing w:val="9"/>
        </w:rPr>
        <w:t>名截止后，考生原则上不可修改基本材料。考生应准确填写个人网</w:t>
      </w:r>
      <w:r>
        <w:rPr>
          <w:sz w:val="27"/>
          <w:szCs w:val="27"/>
          <w:spacing w:val="4"/>
        </w:rPr>
        <w:t xml:space="preserve"> </w:t>
      </w:r>
      <w:r>
        <w:rPr>
          <w:sz w:val="27"/>
          <w:szCs w:val="27"/>
          <w:spacing w:val="6"/>
        </w:rPr>
        <w:t>上报名信息并提供真实材料。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87" w:line="219" w:lineRule="auto"/>
        <w:outlineLvl w:val="0"/>
        <w:rPr>
          <w:sz w:val="27"/>
          <w:szCs w:val="27"/>
        </w:rPr>
      </w:pPr>
      <w:r>
        <w:rPr>
          <w:sz w:val="27"/>
          <w:szCs w:val="27"/>
          <w:b/>
          <w:bCs/>
          <w:spacing w:val="46"/>
        </w:rPr>
        <w:t>第四条选拔程序</w:t>
      </w:r>
    </w:p>
    <w:p>
      <w:pPr>
        <w:spacing w:line="219" w:lineRule="auto"/>
        <w:sectPr>
          <w:pgSz w:w="11900" w:h="16840"/>
          <w:pgMar w:top="1431" w:right="1785" w:bottom="0" w:left="1785" w:header="0" w:footer="0" w:gutter="0"/>
        </w:sectPr>
        <w:rPr>
          <w:sz w:val="27"/>
          <w:szCs w:val="27"/>
        </w:rPr>
      </w:pPr>
    </w:p>
    <w:p>
      <w:pPr>
        <w:pStyle w:val="BodyText"/>
        <w:ind w:left="14" w:right="159" w:firstLine="550"/>
        <w:spacing w:before="177" w:line="422" w:lineRule="auto"/>
        <w:jc w:val="both"/>
        <w:rPr>
          <w:sz w:val="27"/>
          <w:szCs w:val="27"/>
        </w:rPr>
      </w:pPr>
      <w:r>
        <w:rPr>
          <w:sz w:val="27"/>
          <w:szCs w:val="27"/>
          <w:spacing w:val="6"/>
        </w:rPr>
        <w:t>1、资格审查：学校组织专家对申请考生的材料进行初步审核，</w:t>
      </w:r>
      <w:r>
        <w:rPr>
          <w:sz w:val="27"/>
          <w:szCs w:val="27"/>
          <w:spacing w:val="11"/>
        </w:rPr>
        <w:t xml:space="preserve"> </w:t>
      </w:r>
      <w:r>
        <w:rPr>
          <w:sz w:val="27"/>
          <w:szCs w:val="27"/>
          <w:spacing w:val="21"/>
        </w:rPr>
        <w:t>择优确定参加考试的名单，并于2024年4月10日左右在报名系统</w:t>
      </w:r>
      <w:r>
        <w:rPr>
          <w:sz w:val="27"/>
          <w:szCs w:val="27"/>
          <w:spacing w:val="5"/>
        </w:rPr>
        <w:t xml:space="preserve"> </w:t>
      </w:r>
      <w:r>
        <w:rPr>
          <w:sz w:val="27"/>
          <w:szCs w:val="27"/>
          <w:spacing w:val="6"/>
        </w:rPr>
        <w:t>中公布初审结果，届时请考生登录报名系统查看。</w:t>
      </w:r>
    </w:p>
    <w:p>
      <w:pPr>
        <w:pStyle w:val="BodyText"/>
        <w:ind w:left="14" w:right="90" w:firstLine="550"/>
        <w:spacing w:before="300" w:line="422" w:lineRule="auto"/>
        <w:rPr>
          <w:sz w:val="27"/>
          <w:szCs w:val="27"/>
        </w:rPr>
      </w:pPr>
      <w:r>
        <w:rPr>
          <w:sz w:val="27"/>
          <w:szCs w:val="27"/>
          <w:spacing w:val="14"/>
        </w:rPr>
        <w:t>2、选拔考试：采用线上面试形式，面试安</w:t>
      </w:r>
      <w:r>
        <w:rPr>
          <w:sz w:val="27"/>
          <w:szCs w:val="27"/>
          <w:spacing w:val="13"/>
        </w:rPr>
        <w:t>排在4月中下旬，具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spacing w:val="9"/>
        </w:rPr>
        <w:t>体安排以后续通知为准。具体通知届时详见东南</w:t>
      </w:r>
      <w:r>
        <w:rPr>
          <w:sz w:val="27"/>
          <w:szCs w:val="27"/>
          <w:spacing w:val="8"/>
        </w:rPr>
        <w:t>大学本科招生网及</w:t>
      </w:r>
      <w:r>
        <w:rPr>
          <w:sz w:val="27"/>
          <w:szCs w:val="27"/>
        </w:rPr>
        <w:t xml:space="preserve">  </w:t>
      </w:r>
      <w:r>
        <w:rPr>
          <w:sz w:val="27"/>
          <w:szCs w:val="27"/>
          <w:spacing w:val="4"/>
        </w:rPr>
        <w:t>报名系统中的站内消息。</w:t>
      </w:r>
    </w:p>
    <w:p>
      <w:pPr>
        <w:pStyle w:val="BodyText"/>
        <w:ind w:left="568"/>
        <w:spacing w:before="295" w:line="219" w:lineRule="auto"/>
        <w:outlineLvl w:val="0"/>
        <w:rPr>
          <w:sz w:val="27"/>
          <w:szCs w:val="27"/>
        </w:rPr>
      </w:pPr>
      <w:r>
        <w:rPr>
          <w:sz w:val="27"/>
          <w:szCs w:val="27"/>
          <w:b/>
          <w:bCs/>
          <w:spacing w:val="-13"/>
        </w:rPr>
        <w:t>第</w:t>
      </w:r>
      <w:r>
        <w:rPr>
          <w:sz w:val="27"/>
          <w:szCs w:val="27"/>
          <w:spacing w:val="-34"/>
        </w:rPr>
        <w:t xml:space="preserve"> </w:t>
      </w:r>
      <w:r>
        <w:rPr>
          <w:sz w:val="27"/>
          <w:szCs w:val="27"/>
          <w:b/>
          <w:bCs/>
          <w:spacing w:val="-13"/>
        </w:rPr>
        <w:t>五</w:t>
      </w:r>
      <w:r>
        <w:rPr>
          <w:sz w:val="27"/>
          <w:szCs w:val="27"/>
          <w:spacing w:val="-36"/>
        </w:rPr>
        <w:t xml:space="preserve"> </w:t>
      </w:r>
      <w:r>
        <w:rPr>
          <w:sz w:val="27"/>
          <w:szCs w:val="27"/>
          <w:b/>
          <w:bCs/>
          <w:spacing w:val="-13"/>
        </w:rPr>
        <w:t>条</w:t>
      </w:r>
      <w:r>
        <w:rPr>
          <w:sz w:val="27"/>
          <w:szCs w:val="27"/>
          <w:spacing w:val="-37"/>
        </w:rPr>
        <w:t xml:space="preserve"> </w:t>
      </w:r>
      <w:r>
        <w:rPr>
          <w:sz w:val="27"/>
          <w:szCs w:val="27"/>
          <w:b/>
          <w:bCs/>
          <w:spacing w:val="-13"/>
        </w:rPr>
        <w:t>录</w:t>
      </w:r>
      <w:r>
        <w:rPr>
          <w:sz w:val="27"/>
          <w:szCs w:val="27"/>
          <w:spacing w:val="-35"/>
        </w:rPr>
        <w:t xml:space="preserve"> </w:t>
      </w:r>
      <w:r>
        <w:rPr>
          <w:sz w:val="27"/>
          <w:szCs w:val="27"/>
          <w:b/>
          <w:bCs/>
          <w:spacing w:val="-13"/>
        </w:rPr>
        <w:t>取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4" w:right="86" w:firstLine="550"/>
        <w:spacing w:before="88" w:line="417" w:lineRule="auto"/>
        <w:rPr>
          <w:sz w:val="27"/>
          <w:szCs w:val="27"/>
        </w:rPr>
      </w:pPr>
      <w:r>
        <w:rPr>
          <w:sz w:val="27"/>
          <w:szCs w:val="27"/>
          <w:spacing w:val="9"/>
        </w:rPr>
        <w:t>1、东南大学根据申请考生的考试成绩，结合招生计划和考生志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spacing w:val="17"/>
        </w:rPr>
        <w:t>愿择优录取，录取名单将于5月15日在报名系统中予以公布。</w:t>
      </w:r>
    </w:p>
    <w:p>
      <w:pPr>
        <w:pStyle w:val="BodyText"/>
        <w:ind w:left="14" w:right="362" w:firstLine="550"/>
        <w:spacing w:before="292" w:line="422" w:lineRule="auto"/>
        <w:rPr>
          <w:sz w:val="27"/>
          <w:szCs w:val="27"/>
        </w:rPr>
      </w:pPr>
      <w:r>
        <w:rPr>
          <w:sz w:val="27"/>
          <w:szCs w:val="27"/>
          <w:spacing w:val="9"/>
        </w:rPr>
        <w:t>2、学校如有未完成的招生计划，将根据统一安排参加志愿征</w:t>
      </w:r>
      <w:r>
        <w:rPr>
          <w:sz w:val="27"/>
          <w:szCs w:val="27"/>
          <w:spacing w:val="3"/>
        </w:rPr>
        <w:t xml:space="preserve"> </w:t>
      </w:r>
      <w:r>
        <w:rPr>
          <w:sz w:val="27"/>
          <w:szCs w:val="27"/>
          <w:spacing w:val="7"/>
        </w:rPr>
        <w:t>集，具体以报名系统公布为准，学校不再另行公告。</w:t>
      </w:r>
    </w:p>
    <w:p>
      <w:pPr>
        <w:pStyle w:val="BodyText"/>
        <w:ind w:left="14" w:right="82" w:firstLine="550"/>
        <w:spacing w:before="294" w:line="410" w:lineRule="auto"/>
        <w:rPr>
          <w:sz w:val="27"/>
          <w:szCs w:val="27"/>
        </w:rPr>
      </w:pPr>
      <w:r>
        <w:rPr>
          <w:sz w:val="27"/>
          <w:szCs w:val="27"/>
          <w:spacing w:val="9"/>
        </w:rPr>
        <w:t>3、学校录取完成后，将录取学生信息上传系统，经海峡两岸招</w:t>
      </w:r>
      <w:r>
        <w:rPr>
          <w:sz w:val="27"/>
          <w:szCs w:val="27"/>
          <w:spacing w:val="4"/>
        </w:rPr>
        <w:t xml:space="preserve"> </w:t>
      </w:r>
      <w:r>
        <w:rPr>
          <w:sz w:val="27"/>
          <w:szCs w:val="27"/>
          <w:spacing w:val="7"/>
        </w:rPr>
        <w:t>生服务中心统一汇总后转至有关部门进行学籍电子注册。</w:t>
      </w:r>
    </w:p>
    <w:p>
      <w:pPr>
        <w:pStyle w:val="BodyText"/>
        <w:ind w:left="568"/>
        <w:spacing w:before="328" w:line="219" w:lineRule="auto"/>
        <w:outlineLvl w:val="0"/>
        <w:rPr>
          <w:sz w:val="27"/>
          <w:szCs w:val="27"/>
        </w:rPr>
      </w:pPr>
      <w:r>
        <w:rPr>
          <w:sz w:val="27"/>
          <w:szCs w:val="27"/>
          <w:b/>
          <w:bCs/>
          <w:spacing w:val="31"/>
        </w:rPr>
        <w:t>第六条其他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4" w:right="222" w:firstLine="550"/>
        <w:spacing w:before="88" w:line="421" w:lineRule="auto"/>
        <w:rPr>
          <w:sz w:val="27"/>
          <w:szCs w:val="27"/>
        </w:rPr>
      </w:pPr>
      <w:r>
        <w:rPr>
          <w:sz w:val="27"/>
          <w:szCs w:val="27"/>
          <w:spacing w:val="13"/>
        </w:rPr>
        <w:t>1、若教育部2024年的相关规定有变化，东南大学将作相应调</w:t>
      </w:r>
      <w:r>
        <w:rPr>
          <w:sz w:val="27"/>
          <w:szCs w:val="27"/>
          <w:spacing w:val="9"/>
        </w:rPr>
        <w:t xml:space="preserve"> </w:t>
      </w:r>
      <w:r>
        <w:rPr>
          <w:sz w:val="27"/>
          <w:szCs w:val="27"/>
          <w:spacing w:val="-4"/>
        </w:rPr>
        <w:t>整。</w:t>
      </w:r>
    </w:p>
    <w:p>
      <w:pPr>
        <w:pStyle w:val="BodyText"/>
        <w:ind w:left="565"/>
        <w:spacing w:before="296" w:line="219" w:lineRule="auto"/>
        <w:rPr>
          <w:sz w:val="27"/>
          <w:szCs w:val="27"/>
        </w:rPr>
      </w:pPr>
      <w:r>
        <w:rPr>
          <w:sz w:val="27"/>
          <w:szCs w:val="27"/>
          <w:spacing w:val="10"/>
        </w:rPr>
        <w:t>2、本简章未尽事宜学校会及时在东南大学本科招生网</w:t>
      </w:r>
    </w:p>
    <w:p>
      <w:pPr>
        <w:pStyle w:val="BodyText"/>
        <w:ind w:left="14" w:right="289"/>
        <w:spacing w:before="260" w:line="411" w:lineRule="auto"/>
        <w:rPr>
          <w:sz w:val="27"/>
          <w:szCs w:val="27"/>
        </w:rPr>
      </w:pPr>
      <w:r>
        <w:rPr>
          <w:sz w:val="27"/>
          <w:szCs w:val="27"/>
          <w:spacing w:val="3"/>
        </w:rPr>
        <w:t>(</w:t>
      </w:r>
      <w:hyperlink w:history="true" r:id="rId2"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</w:rPr>
          <w:t>https</w:t>
        </w:r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  <w:spacing w:val="3"/>
          </w:rPr>
          <w:t>://</w:t>
        </w:r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</w:rPr>
          <w:t>zsb</w:t>
        </w:r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  <w:spacing w:val="3"/>
          </w:rPr>
          <w:t>.</w:t>
        </w:r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</w:rPr>
          <w:t>seu</w:t>
        </w:r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  <w:spacing w:val="3"/>
          </w:rPr>
          <w:t>.</w:t>
        </w:r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</w:rPr>
          <w:t>edu</w:t>
        </w:r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  <w:spacing w:val="3"/>
          </w:rPr>
          <w:t>.</w:t>
        </w:r>
        <w:r>
          <w:rPr>
            <w:rFonts w:ascii="Times New Roman" w:hAnsi="Times New Roman" w:eastAsia="Times New Roman" w:cs="Times New Roman"/>
            <w:sz w:val="27"/>
            <w:szCs w:val="27"/>
            <w:u w:val="single" w:color="auto"/>
          </w:rPr>
          <w:t>cn</w:t>
        </w:r>
      </w:hyperlink>
      <w:r>
        <w:rPr>
          <w:rFonts w:ascii="Times New Roman" w:hAnsi="Times New Roman" w:eastAsia="Times New Roman" w:cs="Times New Roman"/>
          <w:sz w:val="27"/>
          <w:szCs w:val="27"/>
          <w:spacing w:val="3"/>
        </w:rPr>
        <w:t xml:space="preserve">           </w:t>
      </w:r>
      <w:r>
        <w:rPr>
          <w:sz w:val="27"/>
          <w:szCs w:val="27"/>
          <w:spacing w:val="3"/>
        </w:rPr>
        <w:t>)上公告，请及时查看。若遇紧</w:t>
      </w:r>
      <w:r>
        <w:rPr>
          <w:sz w:val="27"/>
          <w:szCs w:val="27"/>
          <w:spacing w:val="2"/>
        </w:rPr>
        <w:t>急事宜，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spacing w:val="7"/>
        </w:rPr>
        <w:t>学校将通过报名系统站内消息、电话或电子邮件通知。</w:t>
      </w:r>
    </w:p>
    <w:p>
      <w:pPr>
        <w:spacing w:line="411" w:lineRule="auto"/>
        <w:sectPr>
          <w:pgSz w:w="11900" w:h="16840"/>
          <w:pgMar w:top="1431" w:right="1785" w:bottom="0" w:left="1785" w:header="0" w:footer="0" w:gutter="0"/>
        </w:sectPr>
        <w:rPr>
          <w:sz w:val="27"/>
          <w:szCs w:val="27"/>
        </w:rPr>
      </w:pPr>
    </w:p>
    <w:p>
      <w:pPr>
        <w:pStyle w:val="BodyText"/>
        <w:ind w:left="589"/>
        <w:spacing w:before="176" w:line="219" w:lineRule="auto"/>
        <w:outlineLvl w:val="0"/>
        <w:rPr/>
      </w:pPr>
      <w:r>
        <w:rPr>
          <w:b/>
          <w:bCs/>
          <w:spacing w:val="14"/>
        </w:rPr>
        <w:t>第七条东南大学招生办公室联系方式</w:t>
      </w:r>
    </w:p>
    <w:p>
      <w:pPr>
        <w:spacing w:line="466" w:lineRule="auto"/>
        <w:rPr>
          <w:rFonts w:ascii="Arial"/>
          <w:sz w:val="21"/>
        </w:rPr>
      </w:pPr>
      <w:r/>
    </w:p>
    <w:p>
      <w:pPr>
        <w:pStyle w:val="BodyText"/>
        <w:ind w:left="14" w:right="223" w:firstLine="570"/>
        <w:spacing w:before="91" w:line="401" w:lineRule="auto"/>
        <w:rPr/>
      </w:pPr>
      <w:r>
        <w:rPr>
          <w:spacing w:val="4"/>
        </w:rPr>
        <w:t>地址：江苏省南京市江宁区东南大学路2号东南大学招</w:t>
      </w:r>
      <w:r>
        <w:rPr>
          <w:spacing w:val="3"/>
        </w:rPr>
        <w:t>生办公</w:t>
      </w:r>
      <w:r>
        <w:rPr/>
        <w:t xml:space="preserve"> </w:t>
      </w:r>
      <w:r>
        <w:rPr/>
        <w:t>室</w:t>
      </w:r>
    </w:p>
    <w:p>
      <w:pPr>
        <w:pStyle w:val="BodyText"/>
        <w:ind w:left="585"/>
        <w:spacing w:before="304" w:line="219" w:lineRule="auto"/>
        <w:rPr/>
      </w:pPr>
      <w:r>
        <w:rPr>
          <w:spacing w:val="-4"/>
        </w:rPr>
        <w:t>邮编：211189</w:t>
      </w:r>
    </w:p>
    <w:p>
      <w:pPr>
        <w:spacing w:line="477" w:lineRule="auto"/>
        <w:rPr>
          <w:rFonts w:ascii="Arial"/>
          <w:sz w:val="21"/>
        </w:rPr>
      </w:pPr>
      <w:r/>
    </w:p>
    <w:p>
      <w:pPr>
        <w:pStyle w:val="BodyText"/>
        <w:ind w:left="585"/>
        <w:spacing w:before="91" w:line="221" w:lineRule="auto"/>
        <w:rPr/>
      </w:pPr>
      <w:r>
        <w:rPr>
          <w:spacing w:val="-1"/>
        </w:rPr>
        <w:t>联系电话：8625-52090271</w:t>
      </w:r>
    </w:p>
    <w:p>
      <w:pPr>
        <w:spacing w:line="455" w:lineRule="auto"/>
        <w:rPr>
          <w:rFonts w:ascii="Arial"/>
          <w:sz w:val="21"/>
        </w:rPr>
      </w:pPr>
      <w:r/>
    </w:p>
    <w:p>
      <w:pPr>
        <w:pStyle w:val="BodyText"/>
        <w:ind w:left="585"/>
        <w:spacing w:before="91" w:line="219" w:lineRule="auto"/>
        <w:rPr/>
      </w:pPr>
      <w:r>
        <w:rPr>
          <w:spacing w:val="-1"/>
        </w:rPr>
        <w:t>传真电话：8625-52090273</w:t>
      </w:r>
    </w:p>
    <w:p>
      <w:pPr>
        <w:spacing w:line="463" w:lineRule="auto"/>
        <w:rPr>
          <w:rFonts w:ascii="Arial"/>
          <w:sz w:val="21"/>
        </w:rPr>
      </w:pPr>
      <w:r/>
    </w:p>
    <w:p>
      <w:pPr>
        <w:pStyle w:val="BodyText"/>
        <w:ind w:left="585"/>
        <w:spacing w:before="92" w:line="212" w:lineRule="auto"/>
        <w:rPr>
          <w:rFonts w:ascii="Times New Roman" w:hAnsi="Times New Roman" w:eastAsia="Times New Roman" w:cs="Times New Roman"/>
        </w:rPr>
      </w:pPr>
      <w:r>
        <w:rPr>
          <w:spacing w:val="-4"/>
        </w:rPr>
        <w:t>电子邮件：</w:t>
      </w:r>
      <w:r>
        <w:rPr>
          <w:rFonts w:ascii="Times New Roman" w:hAnsi="Times New Roman" w:eastAsia="Times New Roman" w:cs="Times New Roman"/>
          <w:spacing w:val="-4"/>
        </w:rPr>
        <w:t>zhaoban@seu.edu.cn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right="30"/>
        <w:spacing w:before="92" w:line="219" w:lineRule="auto"/>
        <w:jc w:val="right"/>
        <w:rPr/>
      </w:pPr>
      <w:r>
        <w:rPr>
          <w:spacing w:val="-7"/>
        </w:rPr>
        <w:t>东南大学招生办公室</w:t>
      </w:r>
    </w:p>
    <w:p>
      <w:pPr>
        <w:spacing w:line="474" w:lineRule="auto"/>
        <w:rPr>
          <w:rFonts w:ascii="Arial"/>
          <w:sz w:val="21"/>
        </w:rPr>
      </w:pPr>
      <w:r/>
    </w:p>
    <w:p>
      <w:pPr>
        <w:pStyle w:val="BodyText"/>
        <w:spacing w:before="91" w:line="219" w:lineRule="auto"/>
        <w:jc w:val="right"/>
        <w:rPr/>
      </w:pPr>
      <w:r>
        <w:rPr>
          <w:spacing w:val="37"/>
        </w:rPr>
        <w:t>2024年2月5日</w:t>
      </w:r>
    </w:p>
    <w:sectPr>
      <w:pgSz w:w="11900" w:h="16840"/>
      <w:pgMar w:top="1431" w:right="1779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https://zsb.seu.edu.cn" TargetMode="External"/><Relationship Id="rId1" Type="http://schemas.openxmlformats.org/officeDocument/2006/relationships/hyperlink" Target="https://www.gatzs.com.cn/z/tw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2024-12-29T23:53:09Z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2024-12-29T23:53:09</vt:filetime>
  </property>
  <property fmtid="{D5CDD505-2E9C-101B-9397-08002B2CF9AE}" pid="4" name="UsrData">
    <vt:lpwstr>677170639e0810001fb940fcwl</vt:lpwstr>
  </property>
</Properties>
</file>