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130" w:right="313" w:hanging="819"/>
        <w:spacing w:before="72" w:line="232" w:lineRule="auto"/>
        <w:outlineLvl w:val="0"/>
        <w:rPr>
          <w:rFonts w:ascii="SimHei" w:hAnsi="SimHei" w:eastAsia="SimHei" w:cs="SimHei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spacing w:val="-2"/>
        </w:rPr>
        <w:t>廣州大學</w:t>
      </w:r>
      <w:r>
        <w:rPr>
          <w:rFonts w:ascii="SimHei" w:hAnsi="SimHei" w:eastAsia="SimHei" w:cs="SimHei"/>
          <w:sz w:val="36"/>
          <w:szCs w:val="36"/>
          <w:spacing w:val="-73"/>
        </w:rPr>
        <w:t xml:space="preserve"> </w:t>
      </w:r>
      <w:r>
        <w:rPr>
          <w:rFonts w:ascii="SimHei" w:hAnsi="SimHei" w:eastAsia="SimHei" w:cs="SimHei"/>
          <w:sz w:val="36"/>
          <w:szCs w:val="36"/>
          <w:spacing w:val="-2"/>
        </w:rPr>
        <w:t>2024</w:t>
      </w:r>
      <w:r>
        <w:rPr>
          <w:rFonts w:ascii="SimHei" w:hAnsi="SimHei" w:eastAsia="SimHei" w:cs="SimHei"/>
          <w:sz w:val="36"/>
          <w:szCs w:val="36"/>
          <w:spacing w:val="-75"/>
        </w:rPr>
        <w:t xml:space="preserve"> </w:t>
      </w:r>
      <w:r>
        <w:rPr>
          <w:rFonts w:ascii="SimHei" w:hAnsi="SimHei" w:eastAsia="SimHei" w:cs="SimHei"/>
          <w:sz w:val="36"/>
          <w:szCs w:val="36"/>
          <w:spacing w:val="-2"/>
        </w:rPr>
        <w:t>年依據臺灣地區大學入學考試學科</w:t>
      </w:r>
      <w:r>
        <w:rPr>
          <w:rFonts w:ascii="SimHei" w:hAnsi="SimHei" w:eastAsia="SimHei" w:cs="SimHei"/>
          <w:sz w:val="36"/>
          <w:szCs w:val="36"/>
        </w:rPr>
        <w:t xml:space="preserve"> </w:t>
      </w:r>
      <w:r>
        <w:rPr>
          <w:rFonts w:ascii="SimHei" w:hAnsi="SimHei" w:eastAsia="SimHei" w:cs="SimHei"/>
          <w:sz w:val="36"/>
          <w:szCs w:val="36"/>
          <w:spacing w:val="-2"/>
        </w:rPr>
        <w:t>能力測試成績招收臺灣高中畢業生簡章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18" w:right="2" w:firstLine="566"/>
        <w:spacing w:before="120" w:line="312" w:lineRule="auto"/>
        <w:jc w:val="both"/>
        <w:rPr/>
      </w:pPr>
      <w:r>
        <w:rPr>
          <w:spacing w:val="-4"/>
        </w:rPr>
        <w:t>廣州大學是以國家重要中心城市“廣州”命名的綜合性大學，於</w:t>
      </w:r>
      <w:r>
        <w:rPr>
          <w:spacing w:val="3"/>
        </w:rPr>
        <w:t xml:space="preserve"> </w:t>
      </w:r>
      <w:r>
        <w:rPr>
          <w:rFonts w:ascii="FangSong" w:hAnsi="FangSong" w:eastAsia="FangSong" w:cs="FangSong"/>
          <w:spacing w:val="-4"/>
        </w:rPr>
        <w:t>2000</w:t>
      </w:r>
      <w:r>
        <w:rPr>
          <w:rFonts w:ascii="FangSong" w:hAnsi="FangSong" w:eastAsia="FangSong" w:cs="FangSong"/>
          <w:spacing w:val="-67"/>
        </w:rPr>
        <w:t xml:space="preserve"> </w:t>
      </w:r>
      <w:r>
        <w:rPr>
          <w:spacing w:val="-4"/>
        </w:rPr>
        <w:t>年合併組建，有著 </w:t>
      </w:r>
      <w:r>
        <w:rPr>
          <w:rFonts w:ascii="FangSong" w:hAnsi="FangSong" w:eastAsia="FangSong" w:cs="FangSong"/>
          <w:spacing w:val="-4"/>
        </w:rPr>
        <w:t>90</w:t>
      </w:r>
      <w:r>
        <w:rPr>
          <w:rFonts w:ascii="FangSong" w:hAnsi="FangSong" w:eastAsia="FangSong" w:cs="FangSong"/>
          <w:spacing w:val="-56"/>
        </w:rPr>
        <w:t xml:space="preserve"> </w:t>
      </w:r>
      <w:r>
        <w:rPr>
          <w:spacing w:val="-4"/>
        </w:rPr>
        <w:t>多年的辦學傳統 ，是廣東省高水平大</w:t>
      </w:r>
      <w:r>
        <w:rPr>
          <w:spacing w:val="-5"/>
        </w:rPr>
        <w:t>學建</w:t>
      </w:r>
      <w:r>
        <w:rPr/>
        <w:t xml:space="preserve"> </w:t>
      </w:r>
      <w:r>
        <w:rPr>
          <w:spacing w:val="-3"/>
        </w:rPr>
        <w:t>設計畫重點建設高校、廣州市高水準大學建設高校。學校</w:t>
      </w:r>
      <w:r>
        <w:rPr>
          <w:spacing w:val="-4"/>
        </w:rPr>
        <w:t>堅持立德樹</w:t>
      </w:r>
      <w:r>
        <w:rPr/>
        <w:t xml:space="preserve"> </w:t>
      </w:r>
      <w:r>
        <w:rPr>
          <w:spacing w:val="-11"/>
        </w:rPr>
        <w:t>人根本任務，堅持本科人才培養中心地位，以“德</w:t>
      </w:r>
      <w:r>
        <w:rPr>
          <w:spacing w:val="-12"/>
        </w:rPr>
        <w:t>才兼備、家國情懷、</w:t>
      </w:r>
      <w:r>
        <w:rPr/>
        <w:t xml:space="preserve"> </w:t>
      </w:r>
      <w:r>
        <w:rPr>
          <w:spacing w:val="-10"/>
        </w:rPr>
        <w:t>視野開闊</w:t>
      </w:r>
      <w:r>
        <w:rPr>
          <w:spacing w:val="-6"/>
        </w:rPr>
        <w:t xml:space="preserve"> </w:t>
      </w:r>
      <w:r>
        <w:rPr>
          <w:spacing w:val="-10"/>
        </w:rPr>
        <w:t>，愛體育、懂藝術</w:t>
      </w:r>
      <w:r>
        <w:rPr>
          <w:spacing w:val="-19"/>
        </w:rPr>
        <w:t xml:space="preserve"> </w:t>
      </w:r>
      <w:r>
        <w:rPr>
          <w:spacing w:val="-10"/>
        </w:rPr>
        <w:t>，能力發展性強”為人才培養目標</w:t>
      </w:r>
      <w:r>
        <w:rPr>
          <w:spacing w:val="-19"/>
        </w:rPr>
        <w:t xml:space="preserve"> </w:t>
      </w:r>
      <w:r>
        <w:rPr>
          <w:spacing w:val="-10"/>
        </w:rPr>
        <w:t>，設立</w:t>
      </w:r>
      <w:r>
        <w:rPr/>
        <w:t xml:space="preserve"> </w:t>
      </w:r>
      <w:r>
        <w:rPr>
          <w:spacing w:val="-2"/>
        </w:rPr>
        <w:t>“文體藝語勞”</w:t>
      </w:r>
      <w:r>
        <w:rPr>
          <w:spacing w:val="-56"/>
        </w:rPr>
        <w:t xml:space="preserve"> </w:t>
      </w:r>
      <w:r>
        <w:rPr>
          <w:rFonts w:ascii="FangSong" w:hAnsi="FangSong" w:eastAsia="FangSong" w:cs="FangSong"/>
          <w:spacing w:val="-2"/>
        </w:rPr>
        <w:t>5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-2"/>
        </w:rPr>
        <w:t>個公共素質教育中心，致力於培養具有廣大底色的</w:t>
      </w:r>
      <w:r>
        <w:rPr/>
        <w:t xml:space="preserve"> </w:t>
      </w:r>
      <w:r>
        <w:rPr>
          <w:spacing w:val="4"/>
        </w:rPr>
        <w:t>創新型人才。</w:t>
      </w:r>
    </w:p>
    <w:p>
      <w:pPr>
        <w:pStyle w:val="BodyText"/>
        <w:ind w:left="18" w:firstLine="566"/>
        <w:spacing w:before="8" w:line="311" w:lineRule="auto"/>
        <w:jc w:val="both"/>
        <w:rPr/>
      </w:pPr>
      <w:r>
        <w:rPr>
          <w:spacing w:val="-12"/>
        </w:rPr>
        <w:t>學校招生專業涵蓋哲學、經濟學、法學、教育學、文</w:t>
      </w:r>
      <w:r>
        <w:rPr>
          <w:spacing w:val="-13"/>
        </w:rPr>
        <w:t>學、歷史學、</w:t>
      </w:r>
      <w:r>
        <w:rPr/>
        <w:t xml:space="preserve"> </w:t>
      </w:r>
      <w:r>
        <w:rPr>
          <w:spacing w:val="-10"/>
        </w:rPr>
        <w:t>理學 、工學、管理學 、藝術學、交叉學</w:t>
      </w:r>
      <w:r>
        <w:rPr>
          <w:spacing w:val="-11"/>
        </w:rPr>
        <w:t>科等十一大學科門類 ，綜合性</w:t>
      </w:r>
      <w:r>
        <w:rPr/>
        <w:t xml:space="preserve"> </w:t>
      </w:r>
      <w:r>
        <w:rPr>
          <w:spacing w:val="-11"/>
        </w:rPr>
        <w:t>大學優勢盡顯 。工程學 、計算機科學 、化學 、材料科學 、環境</w:t>
      </w:r>
      <w:r>
        <w:rPr>
          <w:rFonts w:ascii="FangSong" w:hAnsi="FangSong" w:eastAsia="FangSong" w:cs="FangSong"/>
          <w:spacing w:val="-11"/>
        </w:rPr>
        <w:t>/</w:t>
      </w:r>
      <w:r>
        <w:rPr>
          <w:spacing w:val="-11"/>
        </w:rPr>
        <w:t>生態</w:t>
      </w:r>
      <w:r>
        <w:rPr>
          <w:spacing w:val="18"/>
        </w:rPr>
        <w:t xml:space="preserve"> </w:t>
      </w:r>
      <w:r>
        <w:rPr>
          <w:spacing w:val="-4"/>
        </w:rPr>
        <w:t>學、社會科學總論、數學、植物學與動物學等 </w:t>
      </w:r>
      <w:r>
        <w:rPr>
          <w:rFonts w:ascii="FangSong" w:hAnsi="FangSong" w:eastAsia="FangSong" w:cs="FangSong"/>
          <w:spacing w:val="-4"/>
        </w:rPr>
        <w:t>8</w:t>
      </w:r>
      <w:r>
        <w:rPr>
          <w:rFonts w:ascii="FangSong" w:hAnsi="FangSong" w:eastAsia="FangSong" w:cs="FangSong"/>
          <w:spacing w:val="-64"/>
        </w:rPr>
        <w:t xml:space="preserve"> </w:t>
      </w:r>
      <w:r>
        <w:rPr>
          <w:spacing w:val="-4"/>
        </w:rPr>
        <w:t>個學科進入 </w:t>
      </w:r>
      <w:r>
        <w:rPr>
          <w:rFonts w:ascii="FangSong" w:hAnsi="FangSong" w:eastAsia="FangSong" w:cs="FangSong"/>
          <w:spacing w:val="-4"/>
        </w:rPr>
        <w:t>ESI</w:t>
      </w:r>
      <w:r>
        <w:rPr>
          <w:rFonts w:ascii="FangSong" w:hAnsi="FangSong" w:eastAsia="FangSong" w:cs="FangSong"/>
          <w:spacing w:val="-67"/>
        </w:rPr>
        <w:t xml:space="preserve"> </w:t>
      </w:r>
      <w:r>
        <w:rPr>
          <w:spacing w:val="-4"/>
        </w:rPr>
        <w:t>全球</w:t>
      </w:r>
      <w:r>
        <w:rPr/>
        <w:t xml:space="preserve"> </w:t>
      </w:r>
      <w:r>
        <w:rPr>
          <w:spacing w:val="-4"/>
        </w:rPr>
        <w:t>前</w:t>
      </w:r>
      <w:r>
        <w:rPr>
          <w:spacing w:val="40"/>
        </w:rPr>
        <w:t xml:space="preserve"> </w:t>
      </w:r>
      <w:r>
        <w:rPr>
          <w:rFonts w:ascii="FangSong" w:hAnsi="FangSong" w:eastAsia="FangSong" w:cs="FangSong"/>
          <w:spacing w:val="-4"/>
        </w:rPr>
        <w:t>1%</w:t>
      </w:r>
      <w:r>
        <w:rPr>
          <w:rFonts w:ascii="FangSong" w:hAnsi="FangSong" w:eastAsia="FangSong" w:cs="FangSong"/>
          <w:spacing w:val="-63"/>
        </w:rPr>
        <w:t xml:space="preserve"> </w:t>
      </w:r>
      <w:r>
        <w:rPr>
          <w:spacing w:val="-4"/>
        </w:rPr>
        <w:t>；</w:t>
      </w:r>
      <w:r>
        <w:rPr>
          <w:rFonts w:ascii="FangSong" w:hAnsi="FangSong" w:eastAsia="FangSong" w:cs="FangSong"/>
          <w:spacing w:val="-4"/>
        </w:rPr>
        <w:t>20</w:t>
      </w:r>
      <w:r>
        <w:rPr>
          <w:rFonts w:ascii="FangSong" w:hAnsi="FangSong" w:eastAsia="FangSong" w:cs="FangSong"/>
          <w:spacing w:val="-41"/>
        </w:rPr>
        <w:t xml:space="preserve"> </w:t>
      </w:r>
      <w:r>
        <w:rPr>
          <w:spacing w:val="-4"/>
        </w:rPr>
        <w:t>個學科上榜</w:t>
      </w:r>
      <w:r>
        <w:rPr>
          <w:spacing w:val="33"/>
        </w:rPr>
        <w:t xml:space="preserve"> </w:t>
      </w:r>
      <w:r>
        <w:rPr>
          <w:rFonts w:ascii="FangSong" w:hAnsi="FangSong" w:eastAsia="FangSong" w:cs="FangSong"/>
          <w:spacing w:val="-4"/>
        </w:rPr>
        <w:t>2023</w:t>
      </w:r>
      <w:r>
        <w:rPr>
          <w:rFonts w:ascii="FangSong" w:hAnsi="FangSong" w:eastAsia="FangSong" w:cs="FangSong"/>
          <w:spacing w:val="-43"/>
        </w:rPr>
        <w:t xml:space="preserve"> </w:t>
      </w:r>
      <w:r>
        <w:rPr>
          <w:spacing w:val="-4"/>
        </w:rPr>
        <w:t>軟科世界</w:t>
      </w:r>
      <w:r>
        <w:rPr>
          <w:spacing w:val="-5"/>
        </w:rPr>
        <w:t>一流學科；</w:t>
      </w:r>
      <w:r>
        <w:rPr>
          <w:rFonts w:ascii="FangSong" w:hAnsi="FangSong" w:eastAsia="FangSong" w:cs="FangSong"/>
          <w:spacing w:val="-5"/>
        </w:rPr>
        <w:t>27</w:t>
      </w:r>
      <w:r>
        <w:rPr>
          <w:rFonts w:ascii="FangSong" w:hAnsi="FangSong" w:eastAsia="FangSong" w:cs="FangSong"/>
          <w:spacing w:val="-41"/>
        </w:rPr>
        <w:t xml:space="preserve"> </w:t>
      </w:r>
      <w:r>
        <w:rPr>
          <w:spacing w:val="-5"/>
        </w:rPr>
        <w:t>個學科上榜軟科</w:t>
      </w:r>
      <w:r>
        <w:rPr/>
        <w:t xml:space="preserve"> </w:t>
      </w:r>
      <w:r>
        <w:rPr>
          <w:rFonts w:ascii="FangSong" w:hAnsi="FangSong" w:eastAsia="FangSong" w:cs="FangSong"/>
          <w:spacing w:val="-5"/>
        </w:rPr>
        <w:t>2023“</w:t>
      </w:r>
      <w:r>
        <w:rPr>
          <w:rFonts w:ascii="FangSong" w:hAnsi="FangSong" w:eastAsia="FangSong" w:cs="FangSong"/>
          <w:spacing w:val="-92"/>
        </w:rPr>
        <w:t xml:space="preserve"> </w:t>
      </w:r>
      <w:r>
        <w:rPr>
          <w:spacing w:val="-5"/>
        </w:rPr>
        <w:t>中國最好學科</w:t>
      </w:r>
      <w:r>
        <w:rPr>
          <w:spacing w:val="-46"/>
        </w:rPr>
        <w:t xml:space="preserve"> </w:t>
      </w:r>
      <w:r>
        <w:rPr>
          <w:rFonts w:ascii="FangSong" w:hAnsi="FangSong" w:eastAsia="FangSong" w:cs="FangSong"/>
          <w:spacing w:val="-5"/>
        </w:rPr>
        <w:t>”</w:t>
      </w:r>
      <w:r>
        <w:rPr>
          <w:rFonts w:ascii="FangSong" w:hAnsi="FangSong" w:eastAsia="FangSong" w:cs="FangSong"/>
          <w:spacing w:val="-89"/>
        </w:rPr>
        <w:t xml:space="preserve"> </w:t>
      </w:r>
      <w:r>
        <w:rPr>
          <w:spacing w:val="-5"/>
        </w:rPr>
        <w:t>。學校在</w:t>
      </w:r>
      <w:r>
        <w:rPr>
          <w:spacing w:val="30"/>
        </w:rPr>
        <w:t xml:space="preserve"> </w:t>
      </w:r>
      <w:r>
        <w:rPr>
          <w:rFonts w:ascii="FangSong" w:hAnsi="FangSong" w:eastAsia="FangSong" w:cs="FangSong"/>
          <w:spacing w:val="-5"/>
        </w:rPr>
        <w:t>2023</w:t>
      </w:r>
      <w:r>
        <w:rPr>
          <w:rFonts w:ascii="FangSong" w:hAnsi="FangSong" w:eastAsia="FangSong" w:cs="FangSong"/>
          <w:spacing w:val="-42"/>
        </w:rPr>
        <w:t xml:space="preserve"> </w:t>
      </w:r>
      <w:r>
        <w:rPr>
          <w:spacing w:val="-5"/>
        </w:rPr>
        <w:t>軟科中國大學排名中位列主榜</w:t>
      </w:r>
      <w:r>
        <w:rPr/>
        <w:t xml:space="preserve"> </w:t>
      </w:r>
      <w:r>
        <w:rPr>
          <w:spacing w:val="-5"/>
        </w:rPr>
        <w:t>第 </w:t>
      </w:r>
      <w:r>
        <w:rPr>
          <w:rFonts w:ascii="FangSong" w:hAnsi="FangSong" w:eastAsia="FangSong" w:cs="FangSong"/>
          <w:spacing w:val="-5"/>
        </w:rPr>
        <w:t>97</w:t>
      </w:r>
      <w:r>
        <w:rPr>
          <w:rFonts w:ascii="FangSong" w:hAnsi="FangSong" w:eastAsia="FangSong" w:cs="FangSong"/>
          <w:spacing w:val="-48"/>
        </w:rPr>
        <w:t xml:space="preserve"> </w:t>
      </w:r>
      <w:r>
        <w:rPr>
          <w:spacing w:val="-5"/>
        </w:rPr>
        <w:t>位，自</w:t>
      </w:r>
      <w:r>
        <w:rPr>
          <w:spacing w:val="56"/>
        </w:rPr>
        <w:t xml:space="preserve"> </w:t>
      </w:r>
      <w:r>
        <w:rPr>
          <w:rFonts w:ascii="FangSong" w:hAnsi="FangSong" w:eastAsia="FangSong" w:cs="FangSong"/>
          <w:spacing w:val="-5"/>
        </w:rPr>
        <w:t>2020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-5"/>
        </w:rPr>
        <w:t>年以來一直穩居國內百強 ；在 </w:t>
      </w:r>
      <w:r>
        <w:rPr>
          <w:rFonts w:ascii="FangSong" w:hAnsi="FangSong" w:eastAsia="FangSong" w:cs="FangSong"/>
          <w:spacing w:val="-5"/>
        </w:rPr>
        <w:t>2023</w:t>
      </w:r>
      <w:r>
        <w:rPr>
          <w:rFonts w:ascii="FangSong" w:hAnsi="FangSong" w:eastAsia="FangSong" w:cs="FangSong"/>
          <w:spacing w:val="-57"/>
        </w:rPr>
        <w:t xml:space="preserve"> </w:t>
      </w:r>
      <w:r>
        <w:rPr>
          <w:spacing w:val="-5"/>
        </w:rPr>
        <w:t>軟科世界大學</w:t>
      </w:r>
      <w:r>
        <w:rPr/>
        <w:t xml:space="preserve"> </w:t>
      </w:r>
      <w:r>
        <w:rPr>
          <w:spacing w:val="8"/>
        </w:rPr>
        <w:t>學術排名中位列世界大學第</w:t>
      </w:r>
      <w:r>
        <w:rPr>
          <w:spacing w:val="4"/>
        </w:rPr>
        <w:t xml:space="preserve">  </w:t>
      </w:r>
      <w:r>
        <w:rPr>
          <w:rFonts w:ascii="FangSong" w:hAnsi="FangSong" w:eastAsia="FangSong" w:cs="FangSong"/>
          <w:spacing w:val="8"/>
        </w:rPr>
        <w:t>463</w:t>
      </w:r>
      <w:r>
        <w:rPr>
          <w:rFonts w:ascii="FangSong" w:hAnsi="FangSong" w:eastAsia="FangSong" w:cs="FangSong"/>
          <w:spacing w:val="8"/>
        </w:rPr>
        <w:t xml:space="preserve"> </w:t>
      </w:r>
      <w:r>
        <w:rPr>
          <w:spacing w:val="8"/>
        </w:rPr>
        <w:t>位、中國內地高校第  </w:t>
      </w:r>
      <w:r>
        <w:rPr>
          <w:rFonts w:ascii="FangSong" w:hAnsi="FangSong" w:eastAsia="FangSong" w:cs="FangSong"/>
          <w:spacing w:val="8"/>
        </w:rPr>
        <w:t>78</w:t>
      </w:r>
      <w:r>
        <w:rPr>
          <w:rFonts w:ascii="FangSong" w:hAnsi="FangSong" w:eastAsia="FangSong" w:cs="FangSong"/>
          <w:spacing w:val="8"/>
        </w:rPr>
        <w:t xml:space="preserve"> </w:t>
      </w:r>
      <w:r>
        <w:rPr>
          <w:spacing w:val="8"/>
        </w:rPr>
        <w:t>位；在</w:t>
      </w:r>
      <w:r>
        <w:rPr>
          <w:spacing w:val="1"/>
        </w:rPr>
        <w:t xml:space="preserve"> </w:t>
      </w:r>
      <w:r>
        <w:rPr>
          <w:rFonts w:ascii="FangSong" w:hAnsi="FangSong" w:eastAsia="FangSong" w:cs="FangSong"/>
          <w:spacing w:val="-2"/>
        </w:rPr>
        <w:t>US.News2023</w:t>
      </w:r>
      <w:r>
        <w:rPr>
          <w:rFonts w:ascii="FangSong" w:hAnsi="FangSong" w:eastAsia="FangSong" w:cs="FangSong"/>
          <w:spacing w:val="-30"/>
        </w:rPr>
        <w:t xml:space="preserve"> </w:t>
      </w:r>
      <w:r>
        <w:rPr>
          <w:spacing w:val="-2"/>
        </w:rPr>
        <w:t>世界大學排名中位列世界大學第</w:t>
      </w:r>
      <w:r>
        <w:rPr>
          <w:spacing w:val="34"/>
        </w:rPr>
        <w:t xml:space="preserve"> </w:t>
      </w:r>
      <w:r>
        <w:rPr>
          <w:rFonts w:ascii="FangSong" w:hAnsi="FangSong" w:eastAsia="FangSong" w:cs="FangSong"/>
          <w:spacing w:val="-2"/>
        </w:rPr>
        <w:t>551</w:t>
      </w:r>
      <w:r>
        <w:rPr>
          <w:rFonts w:ascii="FangSong" w:hAnsi="FangSong" w:eastAsia="FangSong" w:cs="FangSong"/>
          <w:spacing w:val="-41"/>
        </w:rPr>
        <w:t xml:space="preserve"> </w:t>
      </w:r>
      <w:r>
        <w:rPr>
          <w:spacing w:val="-2"/>
        </w:rPr>
        <w:t>位；在</w:t>
      </w:r>
      <w:r>
        <w:rPr>
          <w:spacing w:val="33"/>
        </w:rPr>
        <w:t xml:space="preserve"> </w:t>
      </w:r>
      <w:r>
        <w:rPr>
          <w:rFonts w:ascii="FangSong" w:hAnsi="FangSong" w:eastAsia="FangSong" w:cs="FangSong"/>
          <w:spacing w:val="-2"/>
        </w:rPr>
        <w:t>2024</w:t>
      </w:r>
      <w:r>
        <w:rPr>
          <w:rFonts w:ascii="FangSong" w:hAnsi="FangSong" w:eastAsia="FangSong" w:cs="FangSong"/>
          <w:spacing w:val="-43"/>
        </w:rPr>
        <w:t xml:space="preserve"> </w:t>
      </w:r>
      <w:r>
        <w:rPr>
          <w:spacing w:val="-2"/>
        </w:rPr>
        <w:t>泰晤</w:t>
      </w:r>
      <w:r>
        <w:rPr/>
        <w:t xml:space="preserve"> </w:t>
      </w:r>
      <w:r>
        <w:rPr>
          <w:spacing w:val="-1"/>
        </w:rPr>
        <w:t>士高等教育世界大學排名中位列世界大學第</w:t>
      </w:r>
      <w:r>
        <w:rPr>
          <w:spacing w:val="33"/>
        </w:rPr>
        <w:t xml:space="preserve"> </w:t>
      </w:r>
      <w:r>
        <w:rPr>
          <w:rFonts w:ascii="FangSong" w:hAnsi="FangSong" w:eastAsia="FangSong" w:cs="FangSong"/>
          <w:spacing w:val="-1"/>
        </w:rPr>
        <w:t>801-1000</w:t>
      </w:r>
      <w:r>
        <w:rPr>
          <w:rFonts w:ascii="FangSong" w:hAnsi="FangSong" w:eastAsia="FangSong" w:cs="FangSong"/>
          <w:spacing w:val="-41"/>
        </w:rPr>
        <w:t xml:space="preserve"> </w:t>
      </w:r>
      <w:r>
        <w:rPr>
          <w:spacing w:val="-1"/>
        </w:rPr>
        <w:t>位。學校現有</w:t>
      </w:r>
      <w:r>
        <w:rPr/>
        <w:t xml:space="preserve"> </w:t>
      </w:r>
      <w:r>
        <w:rPr>
          <w:rFonts w:ascii="FangSong" w:hAnsi="FangSong" w:eastAsia="FangSong" w:cs="FangSong"/>
          <w:spacing w:val="-5"/>
        </w:rPr>
        <w:t>40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-5"/>
        </w:rPr>
        <w:t>個國家級 、</w:t>
      </w:r>
      <w:r>
        <w:rPr>
          <w:rFonts w:ascii="FangSong" w:hAnsi="FangSong" w:eastAsia="FangSong" w:cs="FangSong"/>
          <w:spacing w:val="-5"/>
        </w:rPr>
        <w:t>52</w:t>
      </w:r>
      <w:r>
        <w:rPr>
          <w:rFonts w:ascii="FangSong" w:hAnsi="FangSong" w:eastAsia="FangSong" w:cs="FangSong"/>
          <w:spacing w:val="-64"/>
        </w:rPr>
        <w:t xml:space="preserve"> </w:t>
      </w:r>
      <w:r>
        <w:rPr>
          <w:spacing w:val="-5"/>
        </w:rPr>
        <w:t>個廣東省一流本科專業建設點（含國家級</w:t>
      </w:r>
      <w:r>
        <w:rPr>
          <w:spacing w:val="-6"/>
        </w:rPr>
        <w:t>）。</w:t>
      </w:r>
    </w:p>
    <w:p>
      <w:pPr>
        <w:pStyle w:val="BodyText"/>
        <w:ind w:right="25"/>
        <w:spacing w:before="9" w:line="185" w:lineRule="auto"/>
        <w:jc w:val="right"/>
        <w:rPr/>
      </w:pPr>
      <w:r>
        <w:rPr>
          <w:spacing w:val="-4"/>
        </w:rPr>
        <w:t>學校擁有雄厚的師資隊伍、優質的教學資源，採取拔尖創新人才</w:t>
      </w:r>
    </w:p>
    <w:p>
      <w:pPr>
        <w:spacing w:line="185" w:lineRule="auto"/>
        <w:sectPr>
          <w:footerReference w:type="default" r:id="rId1"/>
          <w:pgSz w:w="11907" w:h="16839"/>
          <w:pgMar w:top="1135" w:right="1767" w:bottom="2018" w:left="1785" w:header="0" w:footer="1769" w:gutter="0"/>
        </w:sectPr>
        <w:rPr/>
      </w:pPr>
    </w:p>
    <w:p>
      <w:pPr>
        <w:pStyle w:val="BodyText"/>
        <w:ind w:left="743" w:right="639" w:firstLine="4"/>
        <w:spacing w:before="54" w:line="312" w:lineRule="auto"/>
        <w:jc w:val="both"/>
        <w:rPr/>
      </w:pPr>
      <w:r>
        <w:rPr>
          <w:spacing w:val="-3"/>
        </w:rPr>
        <w:t>和卓越應用人才兩類培養模式以及漢語教學，設有完善的獎助政策，</w:t>
      </w:r>
      <w:r>
        <w:rPr>
          <w:spacing w:val="4"/>
        </w:rPr>
        <w:t xml:space="preserve">  </w:t>
      </w:r>
      <w:r>
        <w:rPr>
          <w:spacing w:val="-3"/>
        </w:rPr>
        <w:t>學生可參評教育部港澳臺僑學生獎學金、學校獎學</w:t>
      </w:r>
      <w:r>
        <w:rPr>
          <w:spacing w:val="-4"/>
        </w:rPr>
        <w:t>金。畢業生具有較</w:t>
      </w:r>
      <w:r>
        <w:rPr/>
        <w:t xml:space="preserve">  </w:t>
      </w:r>
      <w:r>
        <w:rPr>
          <w:spacing w:val="-7"/>
        </w:rPr>
        <w:t>強的就業競爭力與職業發展後勁</w:t>
      </w:r>
      <w:r>
        <w:rPr>
          <w:spacing w:val="-9"/>
        </w:rPr>
        <w:t xml:space="preserve"> </w:t>
      </w:r>
      <w:r>
        <w:rPr>
          <w:spacing w:val="-7"/>
        </w:rPr>
        <w:t>，就業品質穩步提升，近</w:t>
      </w:r>
      <w:r>
        <w:rPr>
          <w:spacing w:val="20"/>
          <w:w w:val="101"/>
        </w:rPr>
        <w:t xml:space="preserve"> </w:t>
      </w:r>
      <w:r>
        <w:rPr>
          <w:rFonts w:ascii="FangSong" w:hAnsi="FangSong" w:eastAsia="FangSong" w:cs="FangSong"/>
          <w:spacing w:val="-7"/>
        </w:rPr>
        <w:t>3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-7"/>
        </w:rPr>
        <w:t>年，本科</w:t>
      </w:r>
      <w:r>
        <w:rPr/>
        <w:t xml:space="preserve">  </w:t>
      </w:r>
      <w:r>
        <w:rPr>
          <w:spacing w:val="-3"/>
        </w:rPr>
        <w:t>生總體去向落實率均在</w:t>
      </w:r>
      <w:r>
        <w:rPr>
          <w:spacing w:val="72"/>
        </w:rPr>
        <w:t xml:space="preserve"> </w:t>
      </w:r>
      <w:r>
        <w:rPr>
          <w:rFonts w:ascii="FangSong" w:hAnsi="FangSong" w:eastAsia="FangSong" w:cs="FangSong"/>
          <w:spacing w:val="-3"/>
        </w:rPr>
        <w:t>94%</w:t>
      </w:r>
      <w:r>
        <w:rPr>
          <w:spacing w:val="-3"/>
        </w:rPr>
        <w:t>以上。畢業生主要在粵港澳大灣區就業 。</w:t>
      </w:r>
    </w:p>
    <w:p>
      <w:pPr>
        <w:pStyle w:val="BodyText"/>
        <w:ind w:left="743" w:right="734" w:firstLine="566"/>
        <w:spacing w:before="11" w:line="311" w:lineRule="auto"/>
        <w:jc w:val="both"/>
        <w:rPr/>
      </w:pPr>
      <w:r>
        <w:rPr>
          <w:spacing w:val="-4"/>
        </w:rPr>
        <w:t>學校依託廣州國家重要中心城市、綜合性門戶城市和粵港澳大灣</w:t>
      </w:r>
      <w:r>
        <w:rPr>
          <w:spacing w:val="8"/>
        </w:rPr>
        <w:t xml:space="preserve"> </w:t>
      </w:r>
      <w:r>
        <w:rPr>
          <w:spacing w:val="-3"/>
        </w:rPr>
        <w:t>區核心引擎的國際影響力，聚焦粵港澳大灣區建設</w:t>
      </w:r>
      <w:r>
        <w:rPr>
          <w:spacing w:val="-4"/>
        </w:rPr>
        <w:t>和“一帶一路”倡</w:t>
      </w:r>
      <w:r>
        <w:rPr/>
        <w:t xml:space="preserve"> </w:t>
      </w:r>
      <w:r>
        <w:rPr>
          <w:spacing w:val="-1"/>
        </w:rPr>
        <w:t>議 ，不斷拓展國際</w:t>
      </w:r>
      <w:r>
        <w:rPr>
          <w:rFonts w:ascii="FangSong" w:hAnsi="FangSong" w:eastAsia="FangSong" w:cs="FangSong"/>
          <w:spacing w:val="-1"/>
        </w:rPr>
        <w:t>/</w:t>
      </w:r>
      <w:r>
        <w:rPr>
          <w:spacing w:val="-1"/>
        </w:rPr>
        <w:t>港澳臺交流與合作。學校與香港科技</w:t>
      </w:r>
      <w:r>
        <w:rPr>
          <w:spacing w:val="-2"/>
        </w:rPr>
        <w:t>大學合作建</w:t>
      </w:r>
      <w:r>
        <w:rPr/>
        <w:t xml:space="preserve"> </w:t>
      </w:r>
      <w:r>
        <w:rPr>
          <w:spacing w:val="1"/>
        </w:rPr>
        <w:t>設香港科技大學（廣州</w:t>
      </w:r>
      <w:r>
        <w:rPr>
          <w:spacing w:val="-61"/>
        </w:rPr>
        <w:t>）；</w:t>
      </w:r>
      <w:r>
        <w:rPr>
          <w:spacing w:val="1"/>
        </w:rPr>
        <w:t>發起成立廣州國際友城大學聯盟；聯盟成 </w:t>
      </w:r>
      <w:r>
        <w:rPr>
          <w:spacing w:val="-5"/>
        </w:rPr>
        <w:t>員大學 </w:t>
      </w:r>
      <w:r>
        <w:rPr>
          <w:rFonts w:ascii="FangSong" w:hAnsi="FangSong" w:eastAsia="FangSong" w:cs="FangSong"/>
          <w:spacing w:val="-5"/>
        </w:rPr>
        <w:t>19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-5"/>
        </w:rPr>
        <w:t>所</w:t>
      </w:r>
      <w:r>
        <w:rPr>
          <w:rFonts w:ascii="FangSong" w:hAnsi="FangSong" w:eastAsia="FangSong" w:cs="FangSong"/>
          <w:spacing w:val="-5"/>
        </w:rPr>
        <w:t>,</w:t>
      </w:r>
      <w:r>
        <w:rPr>
          <w:spacing w:val="-5"/>
        </w:rPr>
        <w:t>分佈於五大洲 </w:t>
      </w:r>
      <w:r>
        <w:rPr>
          <w:rFonts w:ascii="FangSong" w:hAnsi="FangSong" w:eastAsia="FangSong" w:cs="FangSong"/>
          <w:spacing w:val="-5"/>
        </w:rPr>
        <w:t>16</w:t>
      </w:r>
      <w:r>
        <w:rPr>
          <w:rFonts w:ascii="FangSong" w:hAnsi="FangSong" w:eastAsia="FangSong" w:cs="FangSong"/>
          <w:spacing w:val="-68"/>
        </w:rPr>
        <w:t xml:space="preserve"> </w:t>
      </w:r>
      <w:r>
        <w:rPr>
          <w:spacing w:val="-5"/>
        </w:rPr>
        <w:t>個國家；與近</w:t>
      </w:r>
      <w:r>
        <w:rPr>
          <w:spacing w:val="20"/>
        </w:rPr>
        <w:t xml:space="preserve"> </w:t>
      </w:r>
      <w:r>
        <w:rPr>
          <w:rFonts w:ascii="FangSong" w:hAnsi="FangSong" w:eastAsia="FangSong" w:cs="FangSong"/>
          <w:spacing w:val="-5"/>
        </w:rPr>
        <w:t>30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-5"/>
        </w:rPr>
        <w:t>個國家和地區的超過</w:t>
      </w:r>
      <w:r>
        <w:rPr/>
        <w:t xml:space="preserve"> </w:t>
      </w:r>
      <w:r>
        <w:rPr>
          <w:rFonts w:ascii="FangSong" w:hAnsi="FangSong" w:eastAsia="FangSong" w:cs="FangSong"/>
          <w:spacing w:val="-7"/>
        </w:rPr>
        <w:t>200</w:t>
      </w:r>
      <w:r>
        <w:rPr>
          <w:spacing w:val="-7"/>
        </w:rPr>
        <w:t>所大學、科研院所建立了合作關係，與</w:t>
      </w:r>
      <w:r>
        <w:rPr>
          <w:spacing w:val="-8"/>
        </w:rPr>
        <w:t>世界知名大學合作開展“拔</w:t>
      </w:r>
      <w:r>
        <w:rPr/>
        <w:t xml:space="preserve"> </w:t>
      </w:r>
      <w:r>
        <w:rPr>
          <w:spacing w:val="-1"/>
        </w:rPr>
        <w:t>尖創新人才境外學習計畫”和聯合培養等項目近 </w:t>
      </w:r>
      <w:r>
        <w:rPr>
          <w:rFonts w:ascii="FangSong" w:hAnsi="FangSong" w:eastAsia="FangSong" w:cs="FangSong"/>
          <w:spacing w:val="-1"/>
        </w:rPr>
        <w:t>60</w:t>
      </w:r>
      <w:r>
        <w:rPr>
          <w:rFonts w:ascii="FangSong" w:hAnsi="FangSong" w:eastAsia="FangSong" w:cs="FangSong"/>
          <w:spacing w:val="-55"/>
        </w:rPr>
        <w:t xml:space="preserve"> </w:t>
      </w:r>
      <w:r>
        <w:rPr>
          <w:spacing w:val="-1"/>
        </w:rPr>
        <w:t>個 。</w:t>
      </w:r>
    </w:p>
    <w:p>
      <w:pPr>
        <w:pStyle w:val="BodyText"/>
        <w:ind w:left="743" w:right="739" w:firstLine="566"/>
        <w:spacing w:before="9" w:line="302" w:lineRule="auto"/>
        <w:rPr/>
      </w:pPr>
      <w:r>
        <w:rPr>
          <w:spacing w:val="-1"/>
        </w:rPr>
        <w:t>根據教育部有關精神，我校</w:t>
      </w:r>
      <w:r>
        <w:rPr>
          <w:spacing w:val="30"/>
        </w:rPr>
        <w:t xml:space="preserve"> </w:t>
      </w:r>
      <w:r>
        <w:rPr>
          <w:rFonts w:ascii="FangSong" w:hAnsi="FangSong" w:eastAsia="FangSong" w:cs="FangSong"/>
          <w:spacing w:val="-1"/>
        </w:rPr>
        <w:t>2024</w:t>
      </w:r>
      <w:r>
        <w:rPr>
          <w:rFonts w:ascii="FangSong" w:hAnsi="FangSong" w:eastAsia="FangSong" w:cs="FangSong"/>
          <w:spacing w:val="-43"/>
        </w:rPr>
        <w:t xml:space="preserve"> </w:t>
      </w:r>
      <w:r>
        <w:rPr>
          <w:spacing w:val="-1"/>
        </w:rPr>
        <w:t>年依據臺灣地區大</w:t>
      </w:r>
      <w:r>
        <w:rPr>
          <w:spacing w:val="-2"/>
        </w:rPr>
        <w:t>學入學考試</w:t>
      </w:r>
      <w:r>
        <w:rPr/>
        <w:t xml:space="preserve"> </w:t>
      </w:r>
      <w:r>
        <w:rPr>
          <w:spacing w:val="1"/>
        </w:rPr>
        <w:t>學科能力測試成績免試招收臺灣高中畢業生。</w:t>
      </w:r>
    </w:p>
    <w:p>
      <w:pPr>
        <w:ind w:left="1398"/>
        <w:spacing w:line="219" w:lineRule="auto"/>
        <w:outlineLvl w:val="0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b/>
          <w:bCs/>
          <w:spacing w:val="-5"/>
        </w:rPr>
        <w:t>一、</w:t>
      </w:r>
      <w:r>
        <w:rPr>
          <w:rFonts w:ascii="SimHei" w:hAnsi="SimHei" w:eastAsia="SimHei" w:cs="SimHei"/>
          <w:sz w:val="28"/>
          <w:szCs w:val="28"/>
          <w:spacing w:val="29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  <w:spacing w:val="-5"/>
        </w:rPr>
        <w:t>招生專業及計畫</w:t>
      </w:r>
    </w:p>
    <w:p>
      <w:pPr>
        <w:pStyle w:val="BodyText"/>
        <w:ind w:left="743" w:right="715" w:firstLine="584"/>
        <w:spacing w:before="335" w:line="309" w:lineRule="auto"/>
        <w:jc w:val="both"/>
        <w:rPr/>
      </w:pPr>
      <w:r>
        <w:rPr>
          <w:rFonts w:ascii="FangSong" w:hAnsi="FangSong" w:eastAsia="FangSong" w:cs="FangSong"/>
          <w:spacing w:val="1"/>
        </w:rPr>
        <w:t>2024</w:t>
      </w:r>
      <w:r>
        <w:rPr>
          <w:rFonts w:ascii="FangSong" w:hAnsi="FangSong" w:eastAsia="FangSong" w:cs="FangSong"/>
          <w:spacing w:val="1"/>
        </w:rPr>
        <w:t xml:space="preserve"> </w:t>
      </w:r>
      <w:r>
        <w:rPr>
          <w:spacing w:val="1"/>
        </w:rPr>
        <w:t>年我校計畫招收依據臺灣地區“大學</w:t>
      </w:r>
      <w:r>
        <w:rPr/>
        <w:t>入學考試學科能力測 </w:t>
      </w:r>
      <w:r>
        <w:rPr>
          <w:spacing w:val="-7"/>
        </w:rPr>
        <w:t>試成績”的高中畢業生 </w:t>
      </w:r>
      <w:r>
        <w:rPr>
          <w:rFonts w:ascii="FangSong" w:hAnsi="FangSong" w:eastAsia="FangSong" w:cs="FangSong"/>
          <w:spacing w:val="-7"/>
        </w:rPr>
        <w:t>10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-7"/>
        </w:rPr>
        <w:t>名，招生專業見</w:t>
      </w:r>
      <w:r>
        <w:rPr>
          <w:spacing w:val="-8"/>
        </w:rPr>
        <w:t>下表。我校根據生源情況，</w:t>
      </w:r>
      <w:r>
        <w:rPr/>
        <w:t xml:space="preserve"> </w:t>
      </w:r>
      <w:r>
        <w:rPr>
          <w:spacing w:val="2"/>
        </w:rPr>
        <w:t>可對招生總計畫進行適當調整。</w:t>
      </w:r>
    </w:p>
    <w:p>
      <w:pPr>
        <w:spacing w:before="221"/>
        <w:rPr/>
      </w:pPr>
      <w:r/>
    </w:p>
    <w:tbl>
      <w:tblPr>
        <w:tblStyle w:val="TableNormal"/>
        <w:tblW w:w="978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8"/>
        <w:gridCol w:w="2267"/>
        <w:gridCol w:w="2411"/>
        <w:gridCol w:w="1274"/>
        <w:gridCol w:w="1560"/>
        <w:gridCol w:w="849"/>
        <w:gridCol w:w="712"/>
      </w:tblGrid>
      <w:tr>
        <w:trPr>
          <w:trHeight w:val="395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145"/>
              <w:spacing w:before="53" w:line="185" w:lineRule="auto"/>
              <w:rPr/>
            </w:pPr>
            <w:r>
              <w:rPr>
                <w:b/>
                <w:bCs/>
                <w:spacing w:val="-1"/>
              </w:rPr>
              <w:t>序號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922"/>
              <w:spacing w:before="92" w:line="185" w:lineRule="auto"/>
              <w:rPr/>
            </w:pPr>
            <w:r>
              <w:rPr>
                <w:b/>
                <w:bCs/>
                <w:spacing w:val="-1"/>
              </w:rPr>
              <w:t>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8"/>
              <w:spacing w:before="91" w:line="187" w:lineRule="auto"/>
              <w:rPr/>
            </w:pPr>
            <w:r>
              <w:rPr>
                <w:b/>
                <w:bCs/>
                <w:spacing w:val="-1"/>
              </w:rPr>
              <w:t>專業名稱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17"/>
              <w:spacing w:before="92" w:line="185" w:lineRule="auto"/>
              <w:rPr/>
            </w:pPr>
            <w:r>
              <w:rPr>
                <w:b/>
                <w:bCs/>
                <w:spacing w:val="-1"/>
              </w:rPr>
              <w:t>數學限制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361"/>
              <w:spacing w:before="92" w:line="184" w:lineRule="auto"/>
              <w:rPr/>
            </w:pPr>
            <w:r>
              <w:rPr>
                <w:b/>
                <w:bCs/>
                <w:spacing w:val="-1"/>
              </w:rPr>
              <w:t>色覺限制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學位</w:t>
            </w:r>
          </w:p>
        </w:tc>
        <w:tc>
          <w:tcPr>
            <w:tcW w:w="712" w:type="dxa"/>
            <w:vAlign w:val="top"/>
          </w:tcPr>
          <w:p>
            <w:pPr>
              <w:pStyle w:val="TableText"/>
              <w:ind w:left="147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學制</w:t>
            </w:r>
          </w:p>
        </w:tc>
      </w:tr>
      <w:tr>
        <w:trPr>
          <w:trHeight w:val="388" w:hRule="atLeast"/>
        </w:trPr>
        <w:tc>
          <w:tcPr>
            <w:tcW w:w="708" w:type="dxa"/>
            <w:vAlign w:val="top"/>
          </w:tcPr>
          <w:p>
            <w:pPr>
              <w:ind w:left="321"/>
              <w:spacing w:before="122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85" w:line="186" w:lineRule="auto"/>
              <w:rPr/>
            </w:pPr>
            <w:r>
              <w:rPr>
                <w:spacing w:val="-1"/>
              </w:rPr>
              <w:t>經濟與統計學院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891"/>
              <w:spacing w:before="85" w:line="186" w:lineRule="auto"/>
              <w:rPr/>
            </w:pPr>
            <w:r>
              <w:rPr>
                <w:spacing w:val="-1"/>
              </w:rPr>
              <w:t>經濟學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81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85" w:line="186" w:lineRule="auto"/>
              <w:rPr/>
            </w:pPr>
            <w:r>
              <w:rPr>
                <w:spacing w:val="-1"/>
              </w:rPr>
              <w:t>經濟學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2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08" w:type="dxa"/>
            <w:vAlign w:val="top"/>
          </w:tcPr>
          <w:p>
            <w:pPr>
              <w:ind w:left="308"/>
              <w:spacing w:before="12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85" w:line="186" w:lineRule="auto"/>
              <w:rPr/>
            </w:pPr>
            <w:r>
              <w:rPr>
                <w:spacing w:val="-1"/>
              </w:rPr>
              <w:t>經濟與統計學院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891"/>
              <w:spacing w:before="85" w:line="188" w:lineRule="auto"/>
              <w:rPr/>
            </w:pPr>
            <w:r>
              <w:rPr>
                <w:spacing w:val="-1"/>
              </w:rPr>
              <w:t>金融學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81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85" w:line="186" w:lineRule="auto"/>
              <w:rPr/>
            </w:pPr>
            <w:r>
              <w:rPr>
                <w:spacing w:val="-1"/>
              </w:rPr>
              <w:t>經濟學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2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08" w:type="dxa"/>
            <w:vAlign w:val="top"/>
          </w:tcPr>
          <w:p>
            <w:pPr>
              <w:ind w:left="310"/>
              <w:spacing w:before="12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86" w:line="186" w:lineRule="auto"/>
              <w:rPr/>
            </w:pPr>
            <w:r>
              <w:rPr>
                <w:spacing w:val="-1"/>
              </w:rPr>
              <w:t>經濟與統計學院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481"/>
              <w:spacing w:before="86" w:line="186" w:lineRule="auto"/>
              <w:rPr/>
            </w:pPr>
            <w:r>
              <w:rPr>
                <w:spacing w:val="-2"/>
              </w:rPr>
              <w:t>國際經濟與貿易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82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86" w:line="186" w:lineRule="auto"/>
              <w:rPr/>
            </w:pPr>
            <w:r>
              <w:rPr>
                <w:spacing w:val="-1"/>
              </w:rPr>
              <w:t>經濟學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2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390" w:hRule="atLeast"/>
        </w:trPr>
        <w:tc>
          <w:tcPr>
            <w:tcW w:w="708" w:type="dxa"/>
            <w:vAlign w:val="top"/>
          </w:tcPr>
          <w:p>
            <w:pPr>
              <w:ind w:left="305"/>
              <w:spacing w:before="127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89" w:line="186" w:lineRule="auto"/>
              <w:rPr/>
            </w:pPr>
            <w:r>
              <w:rPr>
                <w:spacing w:val="-1"/>
              </w:rPr>
              <w:t>經濟與統計學院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891"/>
              <w:spacing w:before="89" w:line="186" w:lineRule="auto"/>
              <w:rPr/>
            </w:pPr>
            <w:r>
              <w:rPr>
                <w:spacing w:val="-1"/>
              </w:rPr>
              <w:t>統計學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97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90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27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392" w:hRule="atLeast"/>
        </w:trPr>
        <w:tc>
          <w:tcPr>
            <w:tcW w:w="708" w:type="dxa"/>
            <w:vAlign w:val="top"/>
          </w:tcPr>
          <w:p>
            <w:pPr>
              <w:ind w:left="310"/>
              <w:spacing w:before="127" w:line="18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88" w:line="186" w:lineRule="auto"/>
              <w:rPr/>
            </w:pPr>
            <w:r>
              <w:rPr>
                <w:spacing w:val="-1"/>
              </w:rPr>
              <w:t>經濟與統計學院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153"/>
              <w:spacing w:before="88" w:line="185" w:lineRule="auto"/>
              <w:rPr/>
            </w:pPr>
            <w:r>
              <w:rPr>
                <w:spacing w:val="-1"/>
              </w:rPr>
              <w:t>數據科學與大數據技術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96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88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2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</w:tbl>
    <w:p>
      <w:pPr>
        <w:spacing w:line="60" w:lineRule="exact"/>
        <w:rPr>
          <w:rFonts w:ascii="Arial"/>
          <w:sz w:val="5"/>
        </w:rPr>
      </w:pPr>
      <w:r/>
    </w:p>
    <w:p>
      <w:pPr>
        <w:spacing w:line="60" w:lineRule="exact"/>
        <w:sectPr>
          <w:footerReference w:type="default" r:id="rId2"/>
          <w:pgSz w:w="11907" w:h="16839"/>
          <w:pgMar w:top="1247" w:right="1058" w:bottom="2018" w:left="1060" w:header="0" w:footer="1769" w:gutter="0"/>
        </w:sectPr>
        <w:rPr>
          <w:rFonts w:ascii="Arial" w:hAnsi="Arial" w:eastAsia="Arial" w:cs="Arial"/>
          <w:sz w:val="5"/>
          <w:szCs w:val="5"/>
        </w:rPr>
      </w:pPr>
    </w:p>
    <w:tbl>
      <w:tblPr>
        <w:tblStyle w:val="TableNormal"/>
        <w:tblW w:w="978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8"/>
        <w:gridCol w:w="2267"/>
        <w:gridCol w:w="2411"/>
        <w:gridCol w:w="1274"/>
        <w:gridCol w:w="1560"/>
        <w:gridCol w:w="849"/>
        <w:gridCol w:w="712"/>
      </w:tblGrid>
      <w:tr>
        <w:trPr>
          <w:trHeight w:val="39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145"/>
              <w:spacing w:before="55" w:line="185" w:lineRule="auto"/>
              <w:rPr/>
            </w:pPr>
            <w:r>
              <w:rPr>
                <w:b/>
                <w:bCs/>
                <w:spacing w:val="-1"/>
              </w:rPr>
              <w:t>序號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922"/>
              <w:spacing w:before="92" w:line="185" w:lineRule="auto"/>
              <w:rPr/>
            </w:pPr>
            <w:r>
              <w:rPr>
                <w:b/>
                <w:bCs/>
                <w:spacing w:val="-1"/>
              </w:rPr>
              <w:t>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8"/>
              <w:spacing w:before="91" w:line="187" w:lineRule="auto"/>
              <w:rPr/>
            </w:pPr>
            <w:r>
              <w:rPr>
                <w:b/>
                <w:bCs/>
                <w:spacing w:val="-1"/>
              </w:rPr>
              <w:t>專業名稱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17"/>
              <w:spacing w:before="92" w:line="185" w:lineRule="auto"/>
              <w:rPr/>
            </w:pPr>
            <w:r>
              <w:rPr>
                <w:b/>
                <w:bCs/>
                <w:spacing w:val="-1"/>
              </w:rPr>
              <w:t>數學限制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361"/>
              <w:spacing w:before="92" w:line="184" w:lineRule="auto"/>
              <w:rPr/>
            </w:pPr>
            <w:r>
              <w:rPr>
                <w:b/>
                <w:bCs/>
                <w:spacing w:val="-1"/>
              </w:rPr>
              <w:t>色覺限制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學位</w:t>
            </w:r>
          </w:p>
        </w:tc>
        <w:tc>
          <w:tcPr>
            <w:tcW w:w="712" w:type="dxa"/>
            <w:vAlign w:val="top"/>
          </w:tcPr>
          <w:p>
            <w:pPr>
              <w:pStyle w:val="TableText"/>
              <w:ind w:left="147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學制</w:t>
            </w:r>
          </w:p>
        </w:tc>
      </w:tr>
      <w:tr>
        <w:trPr>
          <w:trHeight w:val="389" w:hRule="atLeast"/>
        </w:trPr>
        <w:tc>
          <w:tcPr>
            <w:tcW w:w="708" w:type="dxa"/>
            <w:vAlign w:val="top"/>
          </w:tcPr>
          <w:p>
            <w:pPr>
              <w:ind w:left="307"/>
              <w:spacing w:before="12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85" w:line="186" w:lineRule="auto"/>
              <w:rPr/>
            </w:pPr>
            <w:r>
              <w:rPr>
                <w:spacing w:val="-1"/>
              </w:rPr>
              <w:t>經濟與統計學院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4"/>
              <w:spacing w:before="85" w:line="185" w:lineRule="auto"/>
              <w:rPr/>
            </w:pPr>
            <w:r>
              <w:rPr/>
              <w:t>數字經濟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93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85" w:line="186" w:lineRule="auto"/>
              <w:rPr/>
            </w:pPr>
            <w:r>
              <w:rPr>
                <w:spacing w:val="-1"/>
              </w:rPr>
              <w:t>經濟學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2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389" w:hRule="atLeast"/>
        </w:trPr>
        <w:tc>
          <w:tcPr>
            <w:tcW w:w="708" w:type="dxa"/>
            <w:vAlign w:val="top"/>
          </w:tcPr>
          <w:p>
            <w:pPr>
              <w:ind w:left="311"/>
              <w:spacing w:before="123" w:line="18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85" w:line="181" w:lineRule="auto"/>
              <w:rPr/>
            </w:pPr>
            <w:r>
              <w:rPr>
                <w:spacing w:val="-1"/>
              </w:rPr>
              <w:t>法學院（律師學院）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997"/>
              <w:spacing w:before="84" w:line="187" w:lineRule="auto"/>
              <w:rPr/>
            </w:pPr>
            <w:r>
              <w:rPr>
                <w:spacing w:val="-2"/>
              </w:rPr>
              <w:t>法學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80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84" w:line="187" w:lineRule="auto"/>
              <w:rPr/>
            </w:pPr>
            <w:r>
              <w:rPr>
                <w:spacing w:val="-2"/>
              </w:rPr>
              <w:t>法學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2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389" w:hRule="atLeast"/>
        </w:trPr>
        <w:tc>
          <w:tcPr>
            <w:tcW w:w="708" w:type="dxa"/>
            <w:vAlign w:val="top"/>
          </w:tcPr>
          <w:p>
            <w:pPr>
              <w:ind w:left="306"/>
              <w:spacing w:before="12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85" w:line="186" w:lineRule="auto"/>
              <w:rPr/>
            </w:pPr>
            <w:r>
              <w:rPr>
                <w:spacing w:val="-1"/>
              </w:rPr>
              <w:t>馬克思主義學院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160"/>
              <w:spacing w:before="84" w:line="181" w:lineRule="auto"/>
              <w:rPr/>
            </w:pPr>
            <w:r>
              <w:rPr>
                <w:spacing w:val="-1"/>
              </w:rPr>
              <w:t>思想政治教育（師範）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80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84" w:line="187" w:lineRule="auto"/>
              <w:rPr/>
            </w:pPr>
            <w:r>
              <w:rPr>
                <w:spacing w:val="-2"/>
              </w:rPr>
              <w:t>法學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2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ind w:left="306"/>
              <w:spacing w:before="241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291"/>
              <w:spacing w:before="48" w:line="181" w:lineRule="auto"/>
              <w:rPr/>
            </w:pPr>
            <w:r>
              <w:rPr/>
              <w:t>教育學院（師範學</w:t>
            </w:r>
          </w:p>
          <w:p>
            <w:pPr>
              <w:pStyle w:val="TableText"/>
              <w:ind w:left="932"/>
              <w:spacing w:before="39" w:line="172" w:lineRule="auto"/>
              <w:rPr/>
            </w:pPr>
            <w:r>
              <w:rPr>
                <w:spacing w:val="-3"/>
              </w:rPr>
              <w:t>院）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259"/>
              <w:spacing w:before="204" w:line="181" w:lineRule="auto"/>
              <w:rPr/>
            </w:pPr>
            <w:r>
              <w:rPr/>
              <w:t>教育技術學（師範）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211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204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1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ind w:left="268"/>
              <w:spacing w:before="241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291"/>
              <w:spacing w:before="48" w:line="181" w:lineRule="auto"/>
              <w:rPr/>
            </w:pPr>
            <w:r>
              <w:rPr/>
              <w:t>教育學院（師範學</w:t>
            </w:r>
          </w:p>
          <w:p>
            <w:pPr>
              <w:pStyle w:val="TableText"/>
              <w:ind w:left="932"/>
              <w:spacing w:before="40" w:line="171" w:lineRule="auto"/>
              <w:rPr/>
            </w:pPr>
            <w:r>
              <w:rPr>
                <w:spacing w:val="-3"/>
              </w:rPr>
              <w:t>院）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364"/>
              <w:spacing w:before="204" w:line="181" w:lineRule="auto"/>
              <w:rPr/>
            </w:pPr>
            <w:r>
              <w:rPr/>
              <w:t>學前教育（師範）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200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154"/>
              <w:spacing w:before="205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0"/>
              <w:spacing w:before="204" w:line="186" w:lineRule="auto"/>
              <w:rPr/>
            </w:pPr>
            <w:r>
              <w:rPr/>
              <w:t>教育學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ind w:left="268"/>
              <w:spacing w:before="241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291"/>
              <w:spacing w:before="49" w:line="181" w:lineRule="auto"/>
              <w:rPr/>
            </w:pPr>
            <w:r>
              <w:rPr/>
              <w:t>教育學院（師範學</w:t>
            </w:r>
          </w:p>
          <w:p>
            <w:pPr>
              <w:pStyle w:val="TableText"/>
              <w:ind w:left="932"/>
              <w:spacing w:before="40" w:line="171" w:lineRule="auto"/>
              <w:rPr/>
            </w:pPr>
            <w:r>
              <w:rPr>
                <w:spacing w:val="-3"/>
              </w:rPr>
              <w:t>院）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368"/>
              <w:spacing w:before="205" w:line="181" w:lineRule="auto"/>
              <w:rPr/>
            </w:pPr>
            <w:r>
              <w:rPr>
                <w:spacing w:val="-1"/>
              </w:rPr>
              <w:t>小學教育（師範）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201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0"/>
              <w:spacing w:before="205" w:line="186" w:lineRule="auto"/>
              <w:rPr/>
            </w:pPr>
            <w:r>
              <w:rPr/>
              <w:t>教育學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31" w:hRule="atLeast"/>
        </w:trPr>
        <w:tc>
          <w:tcPr>
            <w:tcW w:w="708" w:type="dxa"/>
            <w:vAlign w:val="top"/>
          </w:tcPr>
          <w:p>
            <w:pPr>
              <w:ind w:left="268"/>
              <w:spacing w:before="244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291"/>
              <w:spacing w:before="52" w:line="181" w:lineRule="auto"/>
              <w:rPr/>
            </w:pPr>
            <w:r>
              <w:rPr/>
              <w:t>教育學院（師範學</w:t>
            </w:r>
          </w:p>
          <w:p>
            <w:pPr>
              <w:pStyle w:val="TableText"/>
              <w:ind w:left="932"/>
              <w:spacing w:before="40" w:line="171" w:lineRule="auto"/>
              <w:rPr/>
            </w:pPr>
            <w:r>
              <w:rPr>
                <w:spacing w:val="-3"/>
              </w:rPr>
              <w:t>院）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364"/>
              <w:spacing w:before="208" w:line="181" w:lineRule="auto"/>
              <w:rPr/>
            </w:pPr>
            <w:r>
              <w:rPr/>
              <w:t>特殊教育（師範）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20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154"/>
              <w:spacing w:before="208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0"/>
              <w:spacing w:before="208" w:line="186" w:lineRule="auto"/>
              <w:rPr/>
            </w:pPr>
            <w:r>
              <w:rPr/>
              <w:t>教育學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ind w:left="268"/>
              <w:spacing w:before="243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291"/>
              <w:spacing w:before="50" w:line="181" w:lineRule="auto"/>
              <w:rPr/>
            </w:pPr>
            <w:r>
              <w:rPr/>
              <w:t>教育學院（師範學</w:t>
            </w:r>
          </w:p>
          <w:p>
            <w:pPr>
              <w:pStyle w:val="TableText"/>
              <w:ind w:left="932"/>
              <w:spacing w:before="40" w:line="170" w:lineRule="auto"/>
              <w:rPr/>
            </w:pPr>
            <w:r>
              <w:rPr>
                <w:spacing w:val="-3"/>
              </w:rPr>
              <w:t>院）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679"/>
              <w:spacing w:before="207" w:line="185" w:lineRule="auto"/>
              <w:rPr/>
            </w:pPr>
            <w:r>
              <w:rPr/>
              <w:t>應用心理學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202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154"/>
              <w:spacing w:before="206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207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ind w:left="268"/>
              <w:spacing w:before="243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291"/>
              <w:spacing w:before="51" w:line="181" w:lineRule="auto"/>
              <w:rPr/>
            </w:pPr>
            <w:r>
              <w:rPr/>
              <w:t>教育學院（師範學</w:t>
            </w:r>
          </w:p>
          <w:p>
            <w:pPr>
              <w:pStyle w:val="TableText"/>
              <w:ind w:left="932"/>
              <w:spacing w:before="39" w:line="170" w:lineRule="auto"/>
              <w:rPr/>
            </w:pPr>
            <w:r>
              <w:rPr>
                <w:spacing w:val="-3"/>
              </w:rPr>
              <w:t>院）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259"/>
              <w:spacing w:before="207" w:line="181" w:lineRule="auto"/>
              <w:rPr/>
            </w:pPr>
            <w:r>
              <w:rPr/>
              <w:t>應用心理學（師範）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202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154"/>
              <w:spacing w:before="207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207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68"/>
              <w:spacing w:before="165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714"/>
              <w:spacing w:before="128" w:line="187" w:lineRule="auto"/>
              <w:rPr/>
            </w:pPr>
            <w:r>
              <w:rPr>
                <w:spacing w:val="-1"/>
              </w:rPr>
              <w:t>人文學院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682"/>
              <w:spacing w:before="128" w:line="186" w:lineRule="auto"/>
              <w:rPr/>
            </w:pPr>
            <w:r>
              <w:rPr>
                <w:spacing w:val="-1"/>
              </w:rPr>
              <w:t>漢語言文學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8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68"/>
              <w:spacing w:before="165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714"/>
              <w:spacing w:before="128" w:line="187" w:lineRule="auto"/>
              <w:rPr/>
            </w:pPr>
            <w:r>
              <w:rPr>
                <w:spacing w:val="-1"/>
              </w:rPr>
              <w:t>人文學院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262"/>
              <w:spacing w:before="128" w:line="181" w:lineRule="auto"/>
              <w:rPr/>
            </w:pPr>
            <w:r>
              <w:rPr>
                <w:spacing w:val="-1"/>
              </w:rPr>
              <w:t>漢語言文學（師範）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8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68"/>
              <w:spacing w:before="165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714"/>
              <w:spacing w:before="128" w:line="187" w:lineRule="auto"/>
              <w:rPr/>
            </w:pPr>
            <w:r>
              <w:rPr>
                <w:spacing w:val="-1"/>
              </w:rPr>
              <w:t>人文學院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468"/>
              <w:spacing w:before="128" w:line="181" w:lineRule="auto"/>
              <w:rPr/>
            </w:pPr>
            <w:r>
              <w:rPr>
                <w:spacing w:val="-1"/>
              </w:rPr>
              <w:t>歷史學（師範）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0"/>
              <w:spacing w:before="128" w:line="186" w:lineRule="auto"/>
              <w:rPr/>
            </w:pPr>
            <w:r>
              <w:rPr/>
              <w:t>歷史學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68"/>
              <w:spacing w:before="165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605"/>
              <w:spacing w:before="128" w:line="186" w:lineRule="auto"/>
              <w:rPr/>
            </w:pPr>
            <w:r>
              <w:rPr/>
              <w:t>外國語學院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993"/>
              <w:spacing w:before="128" w:line="186" w:lineRule="auto"/>
              <w:rPr/>
            </w:pPr>
            <w:r>
              <w:rPr>
                <w:spacing w:val="-1"/>
              </w:rPr>
              <w:t>英語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8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68"/>
              <w:spacing w:before="165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605"/>
              <w:spacing w:before="129" w:line="186" w:lineRule="auto"/>
              <w:rPr/>
            </w:pPr>
            <w:r>
              <w:rPr/>
              <w:t>外國語學院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573"/>
              <w:spacing w:before="128" w:line="181" w:lineRule="auto"/>
              <w:rPr/>
            </w:pPr>
            <w:r>
              <w:rPr/>
              <w:t>英語（師範）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8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605"/>
              <w:spacing w:before="129" w:line="186" w:lineRule="auto"/>
              <w:rPr/>
            </w:pPr>
            <w:r>
              <w:rPr/>
              <w:t>外國語學院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997"/>
              <w:spacing w:before="129" w:line="186" w:lineRule="auto"/>
              <w:rPr/>
            </w:pPr>
            <w:r>
              <w:rPr>
                <w:spacing w:val="-2"/>
              </w:rPr>
              <w:t>法語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9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165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605"/>
              <w:spacing w:before="129" w:line="186" w:lineRule="auto"/>
              <w:rPr/>
            </w:pPr>
            <w:r>
              <w:rPr/>
              <w:t>外國語學院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1030"/>
              <w:spacing w:before="129" w:line="186" w:lineRule="auto"/>
              <w:rPr/>
            </w:pPr>
            <w:r>
              <w:rPr>
                <w:spacing w:val="-10"/>
              </w:rPr>
              <w:t>日語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9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128" w:line="186" w:lineRule="auto"/>
              <w:rPr/>
            </w:pPr>
            <w:r>
              <w:rPr>
                <w:spacing w:val="-1"/>
              </w:rPr>
              <w:t>新聞與傳播學院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679"/>
              <w:spacing w:before="129" w:line="185" w:lineRule="auto"/>
              <w:rPr/>
            </w:pPr>
            <w:r>
              <w:rPr/>
              <w:t>廣播電視學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9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129" w:line="186" w:lineRule="auto"/>
              <w:rPr/>
            </w:pPr>
            <w:r>
              <w:rPr>
                <w:spacing w:val="-1"/>
              </w:rPr>
              <w:t>新聞與傳播學院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577"/>
              <w:spacing w:before="129" w:line="186" w:lineRule="auto"/>
              <w:rPr/>
            </w:pPr>
            <w:r>
              <w:rPr>
                <w:spacing w:val="-1"/>
              </w:rPr>
              <w:t>網絡與新媒體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9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128" w:line="186" w:lineRule="auto"/>
              <w:rPr/>
            </w:pPr>
            <w:r>
              <w:rPr>
                <w:spacing w:val="-1"/>
              </w:rPr>
              <w:t>新聞與傳播學院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573"/>
              <w:spacing w:before="129" w:line="185" w:lineRule="auto"/>
              <w:rPr/>
            </w:pPr>
            <w:r>
              <w:rPr/>
              <w:t>廣播電視編導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128" w:line="186" w:lineRule="auto"/>
              <w:rPr/>
            </w:pPr>
            <w:r>
              <w:rPr>
                <w:spacing w:val="-1"/>
              </w:rPr>
              <w:t>藝術學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245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47" w:line="19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管理學院</w:t>
            </w:r>
            <w:r>
              <w:rPr>
                <w:rFonts w:ascii="SimSun" w:hAnsi="SimSun" w:eastAsia="SimSun" w:cs="SimSun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SimSun" w:hAnsi="SimSun" w:eastAsia="SimSun" w:cs="SimSun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9" w:line="172" w:lineRule="auto"/>
              <w:rPr>
                <w:rFonts w:ascii="SimSun" w:hAnsi="SimSun" w:eastAsia="SimSun" w:cs="SimSun"/>
              </w:rPr>
            </w:pPr>
            <w:r>
              <w:rPr>
                <w:spacing w:val="-4"/>
              </w:rPr>
              <w:t>中法旅遊學院</w:t>
            </w:r>
            <w:r>
              <w:rPr>
                <w:rFonts w:ascii="SimSun" w:hAnsi="SimSun" w:eastAsia="SimSun" w:cs="SimSun"/>
                <w:spacing w:val="-4"/>
              </w:rPr>
              <w:t>)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4"/>
              <w:spacing w:before="207" w:line="187" w:lineRule="auto"/>
              <w:rPr/>
            </w:pPr>
            <w:r>
              <w:rPr/>
              <w:t>工程管理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215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468" w:right="144" w:hanging="314"/>
              <w:spacing w:before="53" w:line="188" w:lineRule="auto"/>
              <w:rPr/>
            </w:pPr>
            <w:r>
              <w:rPr>
                <w:spacing w:val="-1"/>
              </w:rPr>
              <w:t>不招單色識別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不全者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208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5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9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24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47" w:line="19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管理學院</w:t>
            </w:r>
            <w:r>
              <w:rPr>
                <w:rFonts w:ascii="SimSun" w:hAnsi="SimSun" w:eastAsia="SimSun" w:cs="SimSun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SimSun" w:hAnsi="SimSun" w:eastAsia="SimSun" w:cs="SimSun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20" w:line="172" w:lineRule="auto"/>
              <w:rPr>
                <w:rFonts w:ascii="SimSun" w:hAnsi="SimSun" w:eastAsia="SimSun" w:cs="SimSun"/>
              </w:rPr>
            </w:pPr>
            <w:r>
              <w:rPr>
                <w:spacing w:val="-4"/>
              </w:rPr>
              <w:t>中法旅遊學院</w:t>
            </w:r>
            <w:r>
              <w:rPr>
                <w:rFonts w:ascii="SimSun" w:hAnsi="SimSun" w:eastAsia="SimSun" w:cs="SimSun"/>
                <w:spacing w:val="-4"/>
              </w:rPr>
              <w:t>)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4"/>
              <w:spacing w:before="208" w:line="187" w:lineRule="auto"/>
              <w:rPr/>
            </w:pPr>
            <w:r>
              <w:rPr/>
              <w:t>工商管理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20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208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24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48" w:line="19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管理學院</w:t>
            </w:r>
            <w:r>
              <w:rPr>
                <w:rFonts w:ascii="SimSun" w:hAnsi="SimSun" w:eastAsia="SimSun" w:cs="SimSun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SimSun" w:hAnsi="SimSun" w:eastAsia="SimSun" w:cs="SimSun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8" w:line="172" w:lineRule="auto"/>
              <w:rPr>
                <w:rFonts w:ascii="SimSun" w:hAnsi="SimSun" w:eastAsia="SimSun" w:cs="SimSun"/>
              </w:rPr>
            </w:pPr>
            <w:r>
              <w:rPr>
                <w:spacing w:val="-4"/>
              </w:rPr>
              <w:t>中法旅遊學院</w:t>
            </w:r>
            <w:r>
              <w:rPr>
                <w:rFonts w:ascii="SimSun" w:hAnsi="SimSun" w:eastAsia="SimSun" w:cs="SimSun"/>
                <w:spacing w:val="-4"/>
              </w:rPr>
              <w:t>)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91"/>
              <w:spacing w:before="208" w:line="186" w:lineRule="auto"/>
              <w:rPr/>
            </w:pPr>
            <w:r>
              <w:rPr>
                <w:spacing w:val="-2"/>
              </w:rPr>
              <w:t>市場營銷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20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209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31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249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51" w:line="19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管理學院</w:t>
            </w:r>
            <w:r>
              <w:rPr>
                <w:rFonts w:ascii="SimSun" w:hAnsi="SimSun" w:eastAsia="SimSun" w:cs="SimSun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SimSun" w:hAnsi="SimSun" w:eastAsia="SimSun" w:cs="SimSun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8" w:line="172" w:lineRule="auto"/>
              <w:rPr>
                <w:rFonts w:ascii="SimSun" w:hAnsi="SimSun" w:eastAsia="SimSun" w:cs="SimSun"/>
              </w:rPr>
            </w:pPr>
            <w:r>
              <w:rPr>
                <w:spacing w:val="-4"/>
              </w:rPr>
              <w:t>中法旅遊學院</w:t>
            </w:r>
            <w:r>
              <w:rPr>
                <w:rFonts w:ascii="SimSun" w:hAnsi="SimSun" w:eastAsia="SimSun" w:cs="SimSun"/>
                <w:spacing w:val="-4"/>
              </w:rPr>
              <w:t>)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891"/>
              <w:spacing w:before="211" w:line="186" w:lineRule="auto"/>
              <w:rPr/>
            </w:pPr>
            <w:r>
              <w:rPr>
                <w:spacing w:val="-1"/>
              </w:rPr>
              <w:t>會計學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207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212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9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33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247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48" w:line="19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管理學院</w:t>
            </w:r>
            <w:r>
              <w:rPr>
                <w:rFonts w:ascii="SimSun" w:hAnsi="SimSun" w:eastAsia="SimSun" w:cs="SimSun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SimSun" w:hAnsi="SimSun" w:eastAsia="SimSun" w:cs="SimSun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8" w:line="175" w:lineRule="auto"/>
              <w:rPr>
                <w:rFonts w:ascii="SimSun" w:hAnsi="SimSun" w:eastAsia="SimSun" w:cs="SimSun"/>
              </w:rPr>
            </w:pPr>
            <w:r>
              <w:rPr>
                <w:spacing w:val="-4"/>
              </w:rPr>
              <w:t>中法旅遊學院</w:t>
            </w:r>
            <w:r>
              <w:rPr>
                <w:rFonts w:ascii="SimSun" w:hAnsi="SimSun" w:eastAsia="SimSun" w:cs="SimSun"/>
                <w:spacing w:val="-4"/>
              </w:rPr>
              <w:t>)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4"/>
              <w:spacing w:before="209" w:line="186" w:lineRule="auto"/>
              <w:rPr/>
            </w:pPr>
            <w:r>
              <w:rPr/>
              <w:t>物流管理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205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209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7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7" w:h="16839"/>
          <w:pgMar w:top="1132" w:right="1058" w:bottom="2018" w:left="1060" w:header="0" w:footer="176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78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8"/>
        <w:gridCol w:w="2267"/>
        <w:gridCol w:w="2411"/>
        <w:gridCol w:w="1274"/>
        <w:gridCol w:w="1560"/>
        <w:gridCol w:w="849"/>
        <w:gridCol w:w="712"/>
      </w:tblGrid>
      <w:tr>
        <w:trPr>
          <w:trHeight w:val="39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145"/>
              <w:spacing w:before="55" w:line="185" w:lineRule="auto"/>
              <w:rPr/>
            </w:pPr>
            <w:r>
              <w:rPr>
                <w:b/>
                <w:bCs/>
                <w:spacing w:val="-1"/>
              </w:rPr>
              <w:t>序號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922"/>
              <w:spacing w:before="92" w:line="185" w:lineRule="auto"/>
              <w:rPr/>
            </w:pPr>
            <w:r>
              <w:rPr>
                <w:b/>
                <w:bCs/>
                <w:spacing w:val="-1"/>
              </w:rPr>
              <w:t>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8"/>
              <w:spacing w:before="91" w:line="187" w:lineRule="auto"/>
              <w:rPr/>
            </w:pPr>
            <w:r>
              <w:rPr>
                <w:b/>
                <w:bCs/>
                <w:spacing w:val="-1"/>
              </w:rPr>
              <w:t>專業名稱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17"/>
              <w:spacing w:before="92" w:line="185" w:lineRule="auto"/>
              <w:rPr/>
            </w:pPr>
            <w:r>
              <w:rPr>
                <w:b/>
                <w:bCs/>
                <w:spacing w:val="-1"/>
              </w:rPr>
              <w:t>數學限制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361"/>
              <w:spacing w:before="92" w:line="184" w:lineRule="auto"/>
              <w:rPr/>
            </w:pPr>
            <w:r>
              <w:rPr>
                <w:b/>
                <w:bCs/>
                <w:spacing w:val="-1"/>
              </w:rPr>
              <w:t>色覺限制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學位</w:t>
            </w:r>
          </w:p>
        </w:tc>
        <w:tc>
          <w:tcPr>
            <w:tcW w:w="712" w:type="dxa"/>
            <w:vAlign w:val="top"/>
          </w:tcPr>
          <w:p>
            <w:pPr>
              <w:pStyle w:val="TableText"/>
              <w:ind w:left="147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學制</w:t>
            </w:r>
          </w:p>
        </w:tc>
      </w:tr>
      <w:tr>
        <w:trPr>
          <w:trHeight w:val="629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24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44" w:line="19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管理學院</w:t>
            </w:r>
            <w:r>
              <w:rPr>
                <w:rFonts w:ascii="SimSun" w:hAnsi="SimSun" w:eastAsia="SimSun" w:cs="SimSun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SimSun" w:hAnsi="SimSun" w:eastAsia="SimSun" w:cs="SimSun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9" w:line="175" w:lineRule="auto"/>
              <w:rPr>
                <w:rFonts w:ascii="SimSun" w:hAnsi="SimSun" w:eastAsia="SimSun" w:cs="SimSun"/>
              </w:rPr>
            </w:pPr>
            <w:r>
              <w:rPr>
                <w:spacing w:val="-4"/>
              </w:rPr>
              <w:t>中法旅遊學院</w:t>
            </w:r>
            <w:r>
              <w:rPr>
                <w:rFonts w:ascii="SimSun" w:hAnsi="SimSun" w:eastAsia="SimSun" w:cs="SimSun"/>
                <w:spacing w:val="-4"/>
              </w:rPr>
              <w:t>)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8"/>
              <w:spacing w:before="205" w:line="187" w:lineRule="auto"/>
              <w:rPr/>
            </w:pPr>
            <w:r>
              <w:rPr>
                <w:spacing w:val="-1"/>
              </w:rPr>
              <w:t>電子商務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201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205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241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44" w:line="19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管理學院</w:t>
            </w:r>
            <w:r>
              <w:rPr>
                <w:rFonts w:ascii="SimSun" w:hAnsi="SimSun" w:eastAsia="SimSun" w:cs="SimSun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SimSun" w:hAnsi="SimSun" w:eastAsia="SimSun" w:cs="SimSun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9" w:line="174" w:lineRule="auto"/>
              <w:rPr>
                <w:rFonts w:ascii="SimSun" w:hAnsi="SimSun" w:eastAsia="SimSun" w:cs="SimSun"/>
              </w:rPr>
            </w:pPr>
            <w:r>
              <w:rPr>
                <w:spacing w:val="-4"/>
              </w:rPr>
              <w:t>中法旅遊學院</w:t>
            </w:r>
            <w:r>
              <w:rPr>
                <w:rFonts w:ascii="SimSun" w:hAnsi="SimSun" w:eastAsia="SimSun" w:cs="SimSun"/>
                <w:spacing w:val="-4"/>
              </w:rPr>
              <w:t>)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4"/>
              <w:spacing w:before="205" w:line="187" w:lineRule="auto"/>
              <w:rPr/>
            </w:pPr>
            <w:r>
              <w:rPr/>
              <w:t>旅遊管理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200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205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24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44" w:line="19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管理學院</w:t>
            </w:r>
            <w:r>
              <w:rPr>
                <w:rFonts w:ascii="SimSun" w:hAnsi="SimSun" w:eastAsia="SimSun" w:cs="SimSun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SimSun" w:hAnsi="SimSun" w:eastAsia="SimSun" w:cs="SimSun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9" w:line="174" w:lineRule="auto"/>
              <w:rPr>
                <w:rFonts w:ascii="SimSun" w:hAnsi="SimSun" w:eastAsia="SimSun" w:cs="SimSun"/>
              </w:rPr>
            </w:pPr>
            <w:r>
              <w:rPr>
                <w:spacing w:val="-4"/>
              </w:rPr>
              <w:t>中法旅遊學院</w:t>
            </w:r>
            <w:r>
              <w:rPr>
                <w:rFonts w:ascii="SimSun" w:hAnsi="SimSun" w:eastAsia="SimSun" w:cs="SimSun"/>
                <w:spacing w:val="-4"/>
              </w:rPr>
              <w:t>)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206"/>
              <w:spacing w:before="44" w:line="194" w:lineRule="auto"/>
              <w:rPr/>
            </w:pPr>
            <w:r>
              <w:rPr>
                <w:spacing w:val="-1"/>
              </w:rPr>
              <w:t>旅遊管理</w:t>
            </w:r>
            <w:r>
              <w:rPr>
                <w:rFonts w:ascii="SimSun" w:hAnsi="SimSun" w:eastAsia="SimSun" w:cs="SimSun"/>
                <w:spacing w:val="-1"/>
              </w:rPr>
              <w:t>(</w:t>
            </w:r>
            <w:r>
              <w:rPr>
                <w:spacing w:val="-1"/>
              </w:rPr>
              <w:t>中外合作辦</w:t>
            </w:r>
          </w:p>
          <w:p>
            <w:pPr>
              <w:pStyle w:val="TableText"/>
              <w:ind w:left="1046"/>
              <w:spacing w:before="20" w:line="174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學</w:t>
            </w:r>
            <w:r>
              <w:rPr>
                <w:rFonts w:ascii="SimSun" w:hAnsi="SimSun" w:eastAsia="SimSun" w:cs="SimSun"/>
                <w:spacing w:val="-1"/>
              </w:rPr>
              <w:t>)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201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205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2"/>
              <w:spacing w:before="127" w:line="186" w:lineRule="auto"/>
              <w:rPr/>
            </w:pPr>
            <w:r>
              <w:rPr/>
              <w:t>公共管理學院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888"/>
              <w:spacing w:before="127" w:line="186" w:lineRule="auto"/>
              <w:rPr/>
            </w:pPr>
            <w:r>
              <w:rPr/>
              <w:t>社會學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2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126" w:line="187" w:lineRule="auto"/>
              <w:rPr/>
            </w:pPr>
            <w:r>
              <w:rPr>
                <w:spacing w:val="-2"/>
              </w:rPr>
              <w:t>法學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2"/>
              <w:spacing w:before="127" w:line="186" w:lineRule="auto"/>
              <w:rPr/>
            </w:pPr>
            <w:r>
              <w:rPr/>
              <w:t>公共管理學院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4"/>
              <w:spacing w:before="126" w:line="186" w:lineRule="auto"/>
              <w:rPr/>
            </w:pPr>
            <w:r>
              <w:rPr/>
              <w:t>行政管理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2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126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7" w:line="185" w:lineRule="auto"/>
              <w:rPr/>
            </w:pPr>
            <w:r>
              <w:rPr/>
              <w:t>數學與信息科學學院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468"/>
              <w:spacing w:before="127" w:line="185" w:lineRule="auto"/>
              <w:rPr/>
            </w:pPr>
            <w:r>
              <w:rPr/>
              <w:t>數學與應用數學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4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7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31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24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209" w:line="185" w:lineRule="auto"/>
              <w:rPr/>
            </w:pPr>
            <w:r>
              <w:rPr/>
              <w:t>數學與信息科學學院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259"/>
              <w:spacing w:before="52" w:line="181" w:lineRule="auto"/>
              <w:rPr/>
            </w:pPr>
            <w:r>
              <w:rPr>
                <w:spacing w:val="-1"/>
              </w:rPr>
              <w:t>數學與應用數學（師</w:t>
            </w:r>
          </w:p>
          <w:p>
            <w:pPr>
              <w:pStyle w:val="TableText"/>
              <w:ind w:left="997"/>
              <w:spacing w:before="41" w:line="170" w:lineRule="auto"/>
              <w:rPr/>
            </w:pPr>
            <w:r>
              <w:rPr>
                <w:spacing w:val="-2"/>
              </w:rPr>
              <w:t>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216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209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5" w:line="185" w:lineRule="auto"/>
              <w:rPr/>
            </w:pPr>
            <w:r>
              <w:rPr/>
              <w:t>數學與信息科學學院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468"/>
              <w:spacing w:before="124" w:line="186" w:lineRule="auto"/>
              <w:rPr/>
            </w:pPr>
            <w:r>
              <w:rPr/>
              <w:t>信息與計算科學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2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5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7" w:line="185" w:lineRule="auto"/>
              <w:rPr/>
            </w:pPr>
            <w:r>
              <w:rPr/>
              <w:t>數學與信息科學學院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4"/>
              <w:spacing w:before="127" w:line="186" w:lineRule="auto"/>
              <w:rPr/>
            </w:pPr>
            <w:r>
              <w:rPr>
                <w:spacing w:val="-1"/>
              </w:rPr>
              <w:t>信息安全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4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7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5" w:line="186" w:lineRule="auto"/>
              <w:rPr/>
            </w:pPr>
            <w:r>
              <w:rPr/>
              <w:t>物理與材料科學學院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888"/>
              <w:spacing w:before="124" w:line="187" w:lineRule="auto"/>
              <w:rPr/>
            </w:pPr>
            <w:r>
              <w:rPr/>
              <w:t>物理學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2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5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2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7" w:line="186" w:lineRule="auto"/>
              <w:rPr/>
            </w:pPr>
            <w:r>
              <w:rPr/>
              <w:t>物理與材料科學學院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468"/>
              <w:spacing w:before="127" w:line="181" w:lineRule="auto"/>
              <w:rPr/>
            </w:pPr>
            <w:r>
              <w:rPr>
                <w:spacing w:val="-1"/>
              </w:rPr>
              <w:t>物理學（師範）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4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7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2"/>
              <w:spacing w:before="161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5" w:line="186" w:lineRule="auto"/>
              <w:rPr/>
            </w:pPr>
            <w:r>
              <w:rPr/>
              <w:t>物理與材料科學學院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891"/>
              <w:spacing w:before="125" w:line="187" w:lineRule="auto"/>
              <w:rPr/>
            </w:pPr>
            <w:r>
              <w:rPr>
                <w:spacing w:val="-1"/>
              </w:rPr>
              <w:t>天文學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2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365"/>
              <w:spacing w:before="125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5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2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7" w:line="186" w:lineRule="auto"/>
              <w:rPr/>
            </w:pPr>
            <w:r>
              <w:rPr/>
              <w:t>物理與材料科學學院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468"/>
              <w:spacing w:before="127" w:line="186" w:lineRule="auto"/>
              <w:rPr/>
            </w:pPr>
            <w:r>
              <w:rPr/>
              <w:t>材料科學與工程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4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7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2"/>
              <w:spacing w:before="16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5" w:line="186" w:lineRule="auto"/>
              <w:rPr/>
            </w:pPr>
            <w:r>
              <w:rPr/>
              <w:t>物理與材料科學學院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262"/>
              <w:spacing w:before="125" w:line="186" w:lineRule="auto"/>
              <w:rPr/>
            </w:pPr>
            <w:r>
              <w:rPr>
                <w:spacing w:val="-1"/>
              </w:rPr>
              <w:t>光電信息科學與工程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2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5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2"/>
              <w:spacing w:before="165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2"/>
              <w:spacing w:before="127" w:line="187" w:lineRule="auto"/>
              <w:rPr/>
            </w:pPr>
            <w:r>
              <w:rPr/>
              <w:t>化學化工學院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993"/>
              <w:spacing w:before="127" w:line="188" w:lineRule="auto"/>
              <w:rPr/>
            </w:pPr>
            <w:r>
              <w:rPr>
                <w:spacing w:val="-1"/>
              </w:rPr>
              <w:t>化學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5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154"/>
              <w:spacing w:before="127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8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5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2"/>
              <w:spacing w:before="16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2"/>
              <w:spacing w:before="125" w:line="187" w:lineRule="auto"/>
              <w:rPr/>
            </w:pPr>
            <w:r>
              <w:rPr/>
              <w:t>化學化工學院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573"/>
              <w:spacing w:before="125" w:line="181" w:lineRule="auto"/>
              <w:rPr/>
            </w:pPr>
            <w:r>
              <w:rPr/>
              <w:t>化學（師範）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3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154"/>
              <w:spacing w:before="125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5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2"/>
              <w:spacing w:before="165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2"/>
              <w:spacing w:before="127" w:line="187" w:lineRule="auto"/>
              <w:rPr/>
            </w:pPr>
            <w:r>
              <w:rPr/>
              <w:t>化學化工學院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468"/>
              <w:spacing w:before="127" w:line="186" w:lineRule="auto"/>
              <w:rPr/>
            </w:pPr>
            <w:r>
              <w:rPr/>
              <w:t>化學工程與工藝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5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154"/>
              <w:spacing w:before="127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8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5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7" w:hRule="atLeast"/>
        </w:trPr>
        <w:tc>
          <w:tcPr>
            <w:tcW w:w="708" w:type="dxa"/>
            <w:vAlign w:val="top"/>
          </w:tcPr>
          <w:p>
            <w:pPr>
              <w:ind w:left="252"/>
              <w:spacing w:before="16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5" w:line="186" w:lineRule="auto"/>
              <w:rPr/>
            </w:pPr>
            <w:r>
              <w:rPr/>
              <w:t>地理科學與遙感學院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4"/>
              <w:spacing w:before="126" w:line="186" w:lineRule="auto"/>
              <w:rPr/>
            </w:pPr>
            <w:r>
              <w:rPr/>
              <w:t>地理科學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1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365"/>
              <w:spacing w:before="125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5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2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8" w:line="186" w:lineRule="auto"/>
              <w:rPr/>
            </w:pPr>
            <w:r>
              <w:rPr/>
              <w:t>地理科學與遙感學院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364"/>
              <w:spacing w:before="128" w:line="181" w:lineRule="auto"/>
              <w:rPr/>
            </w:pPr>
            <w:r>
              <w:rPr/>
              <w:t>地理科學（師範）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365"/>
              <w:spacing w:before="128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9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2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6" w:line="186" w:lineRule="auto"/>
              <w:rPr/>
            </w:pPr>
            <w:r>
              <w:rPr/>
              <w:t>地理科學與遙感學院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262"/>
              <w:spacing w:before="126" w:line="186" w:lineRule="auto"/>
              <w:rPr/>
            </w:pPr>
            <w:r>
              <w:rPr>
                <w:spacing w:val="-1"/>
              </w:rPr>
              <w:t>人文地理與城鄉規劃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2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365"/>
              <w:spacing w:before="126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6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8" w:line="186" w:lineRule="auto"/>
              <w:rPr/>
            </w:pPr>
            <w:r>
              <w:rPr/>
              <w:t>地理科學與遙感學院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573"/>
              <w:spacing w:before="129" w:line="186" w:lineRule="auto"/>
              <w:rPr/>
            </w:pPr>
            <w:r>
              <w:rPr>
                <w:spacing w:val="-1"/>
              </w:rPr>
              <w:t>地理信息科學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365"/>
              <w:spacing w:before="128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9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3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7" w:line="186" w:lineRule="auto"/>
              <w:rPr/>
            </w:pPr>
            <w:r>
              <w:rPr/>
              <w:t>地理科學與遙感學院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471"/>
              <w:spacing w:before="126" w:line="186" w:lineRule="auto"/>
              <w:rPr/>
            </w:pPr>
            <w:r>
              <w:rPr>
                <w:spacing w:val="-1"/>
              </w:rPr>
              <w:t>遙感科學與技術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4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365"/>
              <w:spacing w:before="127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7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5"/>
              <w:spacing w:before="128" w:line="186" w:lineRule="auto"/>
              <w:rPr/>
            </w:pPr>
            <w:r>
              <w:rPr>
                <w:spacing w:val="-1"/>
              </w:rPr>
              <w:t>生命科學學院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8"/>
              <w:spacing w:before="130" w:line="186" w:lineRule="auto"/>
              <w:rPr/>
            </w:pPr>
            <w:r>
              <w:rPr>
                <w:spacing w:val="-1"/>
              </w:rPr>
              <w:t>生物科學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6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154"/>
              <w:spacing w:before="129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9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7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5"/>
              <w:spacing w:before="126" w:line="186" w:lineRule="auto"/>
              <w:rPr/>
            </w:pPr>
            <w:r>
              <w:rPr>
                <w:spacing w:val="-1"/>
              </w:rPr>
              <w:t>生命科學學院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368"/>
              <w:spacing w:before="127" w:line="181" w:lineRule="auto"/>
              <w:rPr/>
            </w:pPr>
            <w:r>
              <w:rPr>
                <w:spacing w:val="-1"/>
              </w:rPr>
              <w:t>生物科學（師範）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4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154"/>
              <w:spacing w:before="127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7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7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5"/>
              <w:spacing w:before="129" w:line="186" w:lineRule="auto"/>
              <w:rPr/>
            </w:pPr>
            <w:r>
              <w:rPr>
                <w:spacing w:val="-1"/>
              </w:rPr>
              <w:t>生命科學學院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8"/>
              <w:spacing w:before="130" w:line="185" w:lineRule="auto"/>
              <w:rPr/>
            </w:pPr>
            <w:r>
              <w:rPr>
                <w:spacing w:val="-1"/>
              </w:rPr>
              <w:t>生物製藥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7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154"/>
              <w:spacing w:before="130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30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7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33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248" w:line="18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209" w:line="186" w:lineRule="auto"/>
              <w:rPr/>
            </w:pPr>
            <w:r>
              <w:rPr/>
              <w:t>機械與電氣工程學院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1098" w:right="152" w:hanging="945"/>
              <w:spacing w:before="52" w:line="190" w:lineRule="auto"/>
              <w:rPr/>
            </w:pPr>
            <w:r>
              <w:rPr>
                <w:spacing w:val="-1"/>
              </w:rPr>
              <w:t>機械設計製造及其自動</w:t>
            </w:r>
            <w:r>
              <w:rPr>
                <w:spacing w:val="8"/>
              </w:rPr>
              <w:t xml:space="preserve"> </w:t>
            </w:r>
            <w:r>
              <w:rPr/>
              <w:t>化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217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210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7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</w:tbl>
    <w:p>
      <w:pPr>
        <w:spacing w:line="144" w:lineRule="exact"/>
        <w:rPr>
          <w:rFonts w:ascii="Arial"/>
          <w:sz w:val="12"/>
        </w:rPr>
      </w:pPr>
      <w:r/>
    </w:p>
    <w:p>
      <w:pPr>
        <w:spacing w:line="144" w:lineRule="exact"/>
        <w:sectPr>
          <w:footerReference w:type="default" r:id="rId4"/>
          <w:pgSz w:w="11907" w:h="16839"/>
          <w:pgMar w:top="1132" w:right="1058" w:bottom="2018" w:left="1060" w:header="0" w:footer="1769" w:gutter="0"/>
        </w:sectPr>
        <w:rPr>
          <w:rFonts w:ascii="Arial" w:hAnsi="Arial" w:eastAsia="Arial" w:cs="Arial"/>
          <w:sz w:val="12"/>
          <w:szCs w:val="12"/>
        </w:rPr>
      </w:pPr>
    </w:p>
    <w:tbl>
      <w:tblPr>
        <w:tblStyle w:val="TableNormal"/>
        <w:tblW w:w="978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8"/>
        <w:gridCol w:w="2267"/>
        <w:gridCol w:w="2411"/>
        <w:gridCol w:w="1274"/>
        <w:gridCol w:w="1560"/>
        <w:gridCol w:w="849"/>
        <w:gridCol w:w="712"/>
      </w:tblGrid>
      <w:tr>
        <w:trPr>
          <w:trHeight w:val="39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145"/>
              <w:spacing w:before="55" w:line="185" w:lineRule="auto"/>
              <w:rPr/>
            </w:pPr>
            <w:r>
              <w:rPr>
                <w:b/>
                <w:bCs/>
                <w:spacing w:val="-1"/>
              </w:rPr>
              <w:t>序號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922"/>
              <w:spacing w:before="92" w:line="185" w:lineRule="auto"/>
              <w:rPr/>
            </w:pPr>
            <w:r>
              <w:rPr>
                <w:b/>
                <w:bCs/>
                <w:spacing w:val="-1"/>
              </w:rPr>
              <w:t>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8"/>
              <w:spacing w:before="91" w:line="187" w:lineRule="auto"/>
              <w:rPr/>
            </w:pPr>
            <w:r>
              <w:rPr>
                <w:b/>
                <w:bCs/>
                <w:spacing w:val="-1"/>
              </w:rPr>
              <w:t>專業名稱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17"/>
              <w:spacing w:before="92" w:line="185" w:lineRule="auto"/>
              <w:rPr/>
            </w:pPr>
            <w:r>
              <w:rPr>
                <w:b/>
                <w:bCs/>
                <w:spacing w:val="-1"/>
              </w:rPr>
              <w:t>數學限制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361"/>
              <w:spacing w:before="92" w:line="184" w:lineRule="auto"/>
              <w:rPr/>
            </w:pPr>
            <w:r>
              <w:rPr>
                <w:b/>
                <w:bCs/>
                <w:spacing w:val="-1"/>
              </w:rPr>
              <w:t>色覺限制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學位</w:t>
            </w:r>
          </w:p>
        </w:tc>
        <w:tc>
          <w:tcPr>
            <w:tcW w:w="712" w:type="dxa"/>
            <w:vAlign w:val="top"/>
          </w:tcPr>
          <w:p>
            <w:pPr>
              <w:pStyle w:val="TableText"/>
              <w:ind w:left="147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學制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1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3" w:line="186" w:lineRule="auto"/>
              <w:rPr/>
            </w:pPr>
            <w:r>
              <w:rPr/>
              <w:t>機械與電氣工程學院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577"/>
              <w:spacing w:before="124" w:line="185" w:lineRule="auto"/>
              <w:rPr/>
            </w:pPr>
            <w:r>
              <w:rPr>
                <w:spacing w:val="-1"/>
              </w:rPr>
              <w:t>智能製造工程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1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4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1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4" w:line="18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5" w:line="186" w:lineRule="auto"/>
              <w:rPr/>
            </w:pPr>
            <w:r>
              <w:rPr/>
              <w:t>機械與電氣工程學院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262"/>
              <w:spacing w:before="125" w:line="186" w:lineRule="auto"/>
              <w:rPr/>
            </w:pPr>
            <w:r>
              <w:rPr>
                <w:spacing w:val="-1"/>
              </w:rPr>
              <w:t>電氣工程及其自動化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3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6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25" w:line="186" w:lineRule="auto"/>
              <w:rPr/>
            </w:pPr>
            <w:r>
              <w:rPr/>
              <w:t>機械與電氣工程學院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679"/>
              <w:spacing w:before="125" w:line="186" w:lineRule="auto"/>
              <w:rPr/>
            </w:pPr>
            <w:r>
              <w:rPr/>
              <w:t>機器人工程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3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6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7"/>
              <w:spacing w:before="16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126" w:line="186" w:lineRule="auto"/>
              <w:rPr/>
            </w:pPr>
            <w:r>
              <w:rPr>
                <w:spacing w:val="-1"/>
              </w:rPr>
              <w:t>電子與通信工程學院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577"/>
              <w:spacing w:before="126" w:line="186" w:lineRule="auto"/>
              <w:rPr/>
            </w:pPr>
            <w:r>
              <w:rPr>
                <w:spacing w:val="-1"/>
              </w:rPr>
              <w:t>電子信息工程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3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6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16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125" w:line="186" w:lineRule="auto"/>
              <w:rPr/>
            </w:pPr>
            <w:r>
              <w:rPr>
                <w:spacing w:val="-1"/>
              </w:rPr>
              <w:t>電子與通信工程學院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91"/>
              <w:spacing w:before="126" w:line="186" w:lineRule="auto"/>
              <w:rPr/>
            </w:pPr>
            <w:r>
              <w:rPr>
                <w:spacing w:val="-2"/>
              </w:rPr>
              <w:t>通信工程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3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6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162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126" w:line="186" w:lineRule="auto"/>
              <w:rPr/>
            </w:pPr>
            <w:r>
              <w:rPr>
                <w:spacing w:val="-1"/>
              </w:rPr>
              <w:t>電子與通信工程學院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679"/>
              <w:spacing w:before="125" w:line="186" w:lineRule="auto"/>
              <w:rPr/>
            </w:pPr>
            <w:r>
              <w:rPr/>
              <w:t>物聯網工程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3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6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31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245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207" w:line="186" w:lineRule="auto"/>
              <w:rPr/>
            </w:pPr>
            <w:r>
              <w:rPr>
                <w:spacing w:val="-1"/>
              </w:rPr>
              <w:t>電子與通信工程學院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1102" w:right="152" w:hanging="945"/>
              <w:spacing w:before="50" w:line="190" w:lineRule="auto"/>
              <w:rPr/>
            </w:pPr>
            <w:r>
              <w:rPr>
                <w:spacing w:val="-1"/>
              </w:rPr>
              <w:t>集成電路設計與集成系</w:t>
            </w:r>
            <w:r>
              <w:rPr>
                <w:spacing w:val="5"/>
              </w:rPr>
              <w:t xml:space="preserve"> </w:t>
            </w:r>
            <w:r>
              <w:rPr/>
              <w:t>統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215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207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5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9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24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816" w:right="185" w:hanging="631"/>
              <w:spacing w:before="48" w:line="190" w:lineRule="auto"/>
              <w:rPr/>
            </w:pPr>
            <w:r>
              <w:rPr/>
              <w:t>計算機科學與網絡工 </w:t>
            </w:r>
            <w:r>
              <w:rPr/>
              <w:t>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8"/>
              <w:spacing w:before="206" w:line="186" w:lineRule="auto"/>
              <w:rPr/>
            </w:pPr>
            <w:r>
              <w:rPr>
                <w:spacing w:val="-2"/>
              </w:rPr>
              <w:t>人工智能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213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468" w:right="144" w:hanging="314"/>
              <w:spacing w:before="48" w:line="190" w:lineRule="auto"/>
              <w:rPr/>
            </w:pPr>
            <w:r>
              <w:rPr>
                <w:spacing w:val="-1"/>
              </w:rPr>
              <w:t>不招單色識別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不全者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206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24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816" w:right="185" w:hanging="631"/>
              <w:spacing w:before="50" w:line="189" w:lineRule="auto"/>
              <w:rPr/>
            </w:pPr>
            <w:r>
              <w:rPr/>
              <w:t>計算機科學與網絡工 </w:t>
            </w:r>
            <w:r>
              <w:rPr/>
              <w:t>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364"/>
              <w:spacing w:before="204" w:line="186" w:lineRule="auto"/>
              <w:rPr/>
            </w:pPr>
            <w:r>
              <w:rPr/>
              <w:t>計算機科學與技術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212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468" w:right="144" w:hanging="314"/>
              <w:spacing w:before="50" w:line="189" w:lineRule="auto"/>
              <w:rPr/>
            </w:pPr>
            <w:r>
              <w:rPr>
                <w:spacing w:val="-1"/>
              </w:rPr>
              <w:t>不招單色識別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不全者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205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2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24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816" w:right="185" w:hanging="631"/>
              <w:spacing w:before="50" w:line="189" w:lineRule="auto"/>
              <w:rPr/>
            </w:pPr>
            <w:r>
              <w:rPr/>
              <w:t>計算機科學與網絡工 </w:t>
            </w:r>
            <w:r>
              <w:rPr/>
              <w:t>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4"/>
              <w:spacing w:before="205" w:line="187" w:lineRule="auto"/>
              <w:rPr/>
            </w:pPr>
            <w:r>
              <w:rPr>
                <w:spacing w:val="-1"/>
              </w:rPr>
              <w:t>軟件工程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213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206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24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816" w:right="185" w:hanging="631"/>
              <w:spacing w:before="50" w:line="189" w:lineRule="auto"/>
              <w:rPr/>
            </w:pPr>
            <w:r>
              <w:rPr/>
              <w:t>計算機科學與網絡工 </w:t>
            </w:r>
            <w:r>
              <w:rPr/>
              <w:t>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8"/>
              <w:spacing w:before="206" w:line="186" w:lineRule="auto"/>
              <w:rPr/>
            </w:pPr>
            <w:r>
              <w:rPr>
                <w:spacing w:val="-2"/>
              </w:rPr>
              <w:t>網絡工程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214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468" w:right="144" w:hanging="314"/>
              <w:spacing w:before="50" w:line="189" w:lineRule="auto"/>
              <w:rPr/>
            </w:pPr>
            <w:r>
              <w:rPr>
                <w:spacing w:val="-1"/>
              </w:rPr>
              <w:t>不招單色識別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不全者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206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4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165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294"/>
              <w:spacing w:before="127" w:line="186" w:lineRule="auto"/>
              <w:rPr/>
            </w:pPr>
            <w:r>
              <w:rPr>
                <w:spacing w:val="-1"/>
              </w:rPr>
              <w:t>網絡空間安全學院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577"/>
              <w:spacing w:before="127" w:line="186" w:lineRule="auto"/>
              <w:rPr/>
            </w:pPr>
            <w:r>
              <w:rPr>
                <w:spacing w:val="-1"/>
              </w:rPr>
              <w:t>網絡空間安全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5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8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5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7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165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127" w:line="186" w:lineRule="auto"/>
              <w:rPr/>
            </w:pPr>
            <w:r>
              <w:rPr>
                <w:spacing w:val="-1"/>
              </w:rPr>
              <w:t>建築與城市規劃學院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891"/>
              <w:spacing w:before="127" w:line="186" w:lineRule="auto"/>
              <w:rPr/>
            </w:pPr>
            <w:r>
              <w:rPr>
                <w:spacing w:val="-1"/>
              </w:rPr>
              <w:t>建築學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3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365"/>
              <w:spacing w:before="128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8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12"/>
              <w:spacing w:before="166" w:line="18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5"/>
              <w:spacing w:before="166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128" w:line="186" w:lineRule="auto"/>
              <w:rPr/>
            </w:pPr>
            <w:r>
              <w:rPr>
                <w:spacing w:val="-1"/>
              </w:rPr>
              <w:t>建築與城市規劃學院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4"/>
              <w:spacing w:before="128" w:line="186" w:lineRule="auto"/>
              <w:rPr/>
            </w:pPr>
            <w:r>
              <w:rPr/>
              <w:t>城鄉規劃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4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365"/>
              <w:spacing w:before="129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9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12"/>
              <w:spacing w:before="168" w:line="18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</w:t>
            </w:r>
          </w:p>
        </w:tc>
      </w:tr>
      <w:tr>
        <w:trPr>
          <w:trHeight w:val="467" w:hRule="atLeast"/>
        </w:trPr>
        <w:tc>
          <w:tcPr>
            <w:tcW w:w="708" w:type="dxa"/>
            <w:vAlign w:val="top"/>
          </w:tcPr>
          <w:p>
            <w:pPr>
              <w:ind w:left="258"/>
              <w:spacing w:before="167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70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129" w:line="186" w:lineRule="auto"/>
              <w:rPr/>
            </w:pPr>
            <w:r>
              <w:rPr>
                <w:spacing w:val="-1"/>
              </w:rPr>
              <w:t>建築與城市規劃學院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4"/>
              <w:spacing w:before="129" w:line="186" w:lineRule="auto"/>
              <w:rPr/>
            </w:pPr>
            <w:r>
              <w:rPr/>
              <w:t>風景園林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243"/>
              <w:spacing w:before="125" w:line="193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A/B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365"/>
              <w:spacing w:before="129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29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12"/>
              <w:spacing w:before="168" w:line="18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8"/>
              <w:spacing w:before="166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71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5"/>
              <w:spacing w:before="129" w:line="187" w:lineRule="auto"/>
              <w:rPr/>
            </w:pPr>
            <w:r>
              <w:rPr>
                <w:spacing w:val="-1"/>
              </w:rPr>
              <w:t>土木工程學院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8"/>
              <w:spacing w:before="129" w:line="187" w:lineRule="auto"/>
              <w:rPr/>
            </w:pPr>
            <w:r>
              <w:rPr>
                <w:spacing w:val="-1"/>
              </w:rPr>
              <w:t>土木工程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7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30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7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ind w:left="258"/>
              <w:spacing w:before="247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72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5"/>
              <w:spacing w:before="209" w:line="187" w:lineRule="auto"/>
              <w:rPr/>
            </w:pPr>
            <w:r>
              <w:rPr>
                <w:spacing w:val="-1"/>
              </w:rPr>
              <w:t>土木工程學院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1099" w:right="152" w:hanging="942"/>
              <w:spacing w:before="53" w:line="188" w:lineRule="auto"/>
              <w:rPr/>
            </w:pPr>
            <w:r>
              <w:rPr>
                <w:spacing w:val="-1"/>
              </w:rPr>
              <w:t>建築環境與能源應用工</w:t>
            </w:r>
            <w:r>
              <w:rPr>
                <w:spacing w:val="5"/>
              </w:rPr>
              <w:t xml:space="preserve"> </w:t>
            </w:r>
            <w:r>
              <w:rPr/>
              <w:t>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217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210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247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8"/>
              <w:spacing w:before="168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73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5"/>
              <w:spacing w:before="130" w:line="187" w:lineRule="auto"/>
              <w:rPr/>
            </w:pPr>
            <w:r>
              <w:rPr>
                <w:spacing w:val="-1"/>
              </w:rPr>
              <w:t>土木工程學院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368"/>
              <w:spacing w:before="131" w:line="186" w:lineRule="auto"/>
              <w:rPr/>
            </w:pPr>
            <w:r>
              <w:rPr>
                <w:spacing w:val="-1"/>
              </w:rPr>
              <w:t>給排水科學與工程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8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31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8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ind w:left="258"/>
              <w:spacing w:before="168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74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5"/>
              <w:spacing w:before="130" w:line="187" w:lineRule="auto"/>
              <w:rPr/>
            </w:pPr>
            <w:r>
              <w:rPr>
                <w:spacing w:val="-1"/>
              </w:rPr>
              <w:t>土木工程學院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8"/>
              <w:spacing w:before="131" w:line="186" w:lineRule="auto"/>
              <w:rPr/>
            </w:pPr>
            <w:r>
              <w:rPr>
                <w:spacing w:val="-1"/>
              </w:rPr>
              <w:t>交通工程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8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31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8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ind w:left="258"/>
              <w:spacing w:before="169" w:line="18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75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31" w:line="186" w:lineRule="auto"/>
              <w:rPr/>
            </w:pPr>
            <w:r>
              <w:rPr/>
              <w:t>環境科學與工程學院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4"/>
              <w:spacing w:before="131" w:line="186" w:lineRule="auto"/>
              <w:rPr/>
            </w:pPr>
            <w:r>
              <w:rPr/>
              <w:t>環境工程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8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154"/>
              <w:spacing w:before="131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31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8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  <w:tr>
        <w:trPr>
          <w:trHeight w:val="475" w:hRule="atLeast"/>
        </w:trPr>
        <w:tc>
          <w:tcPr>
            <w:tcW w:w="708" w:type="dxa"/>
            <w:vAlign w:val="top"/>
          </w:tcPr>
          <w:p>
            <w:pPr>
              <w:ind w:left="258"/>
              <w:spacing w:before="168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76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5"/>
              <w:spacing w:before="130" w:line="186" w:lineRule="auto"/>
              <w:rPr/>
            </w:pPr>
            <w:r>
              <w:rPr/>
              <w:t>環境科學與工程學院</w:t>
            </w:r>
          </w:p>
        </w:tc>
        <w:tc>
          <w:tcPr>
            <w:tcW w:w="2411" w:type="dxa"/>
            <w:vAlign w:val="top"/>
          </w:tcPr>
          <w:p>
            <w:pPr>
              <w:pStyle w:val="TableText"/>
              <w:ind w:left="784"/>
              <w:spacing w:before="131" w:line="186" w:lineRule="auto"/>
              <w:rPr/>
            </w:pPr>
            <w:r>
              <w:rPr/>
              <w:t>環境科學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47"/>
              <w:spacing w:before="138" w:line="185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數學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A</w:t>
            </w:r>
          </w:p>
        </w:tc>
        <w:tc>
          <w:tcPr>
            <w:tcW w:w="15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6"/>
              <w:spacing w:before="131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2" w:type="dxa"/>
            <w:vAlign w:val="top"/>
          </w:tcPr>
          <w:p>
            <w:pPr>
              <w:ind w:left="307"/>
              <w:spacing w:before="168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7" w:h="16839"/>
          <w:pgMar w:top="1132" w:right="1058" w:bottom="2018" w:left="1060" w:header="0" w:footer="176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73"/>
        <w:spacing w:before="55" w:line="219" w:lineRule="auto"/>
        <w:outlineLvl w:val="0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b/>
          <w:bCs/>
          <w:spacing w:val="-6"/>
        </w:rPr>
        <w:t>二、</w:t>
      </w:r>
      <w:r>
        <w:rPr>
          <w:rFonts w:ascii="SimHei" w:hAnsi="SimHei" w:eastAsia="SimHei" w:cs="SimHei"/>
          <w:sz w:val="28"/>
          <w:szCs w:val="28"/>
          <w:spacing w:val="38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  <w:spacing w:val="-6"/>
        </w:rPr>
        <w:t>報名條件及辦法</w:t>
      </w:r>
    </w:p>
    <w:p>
      <w:pPr>
        <w:pStyle w:val="BodyText"/>
        <w:ind w:left="604"/>
        <w:spacing w:before="315" w:line="186" w:lineRule="auto"/>
        <w:outlineLvl w:val="1"/>
        <w:rPr/>
      </w:pPr>
      <w:r>
        <w:rPr>
          <w:rFonts w:ascii="FangSong" w:hAnsi="FangSong" w:eastAsia="FangSong" w:cs="FangSong"/>
          <w:b/>
          <w:bCs/>
          <w:spacing w:val="-5"/>
        </w:rPr>
        <w:t>1.</w:t>
      </w:r>
      <w:r>
        <w:rPr>
          <w:b/>
          <w:bCs/>
          <w:spacing w:val="-5"/>
        </w:rPr>
        <w:t>報名條件</w:t>
      </w:r>
    </w:p>
    <w:p>
      <w:pPr>
        <w:pStyle w:val="BodyText"/>
        <w:ind w:left="18" w:right="268" w:firstLine="566"/>
        <w:spacing w:before="274" w:line="311" w:lineRule="auto"/>
        <w:jc w:val="both"/>
        <w:rPr/>
      </w:pPr>
      <w:r>
        <w:rPr>
          <w:spacing w:val="-6"/>
        </w:rPr>
        <w:t>持有《臺灣居民居住證》或《臺灣居民來往大陸通行證》、</w:t>
      </w:r>
      <w:r>
        <w:rPr>
          <w:spacing w:val="-14"/>
        </w:rPr>
        <w:t xml:space="preserve"> </w:t>
      </w:r>
      <w:r>
        <w:rPr>
          <w:spacing w:val="-6"/>
        </w:rPr>
        <w:t>以及</w:t>
      </w:r>
      <w:r>
        <w:rPr/>
        <w:t xml:space="preserve"> </w:t>
      </w:r>
      <w:r>
        <w:rPr>
          <w:spacing w:val="-3"/>
        </w:rPr>
        <w:t>在臺灣居住的有效身份證明，且當年學測成績在語</w:t>
      </w:r>
      <w:r>
        <w:rPr>
          <w:spacing w:val="-4"/>
        </w:rPr>
        <w:t>文、數學、英文考</w:t>
      </w:r>
      <w:r>
        <w:rPr/>
        <w:t xml:space="preserve"> </w:t>
      </w:r>
      <w:r>
        <w:rPr>
          <w:spacing w:val="-3"/>
        </w:rPr>
        <w:t>試科目中均達到均標級（含）以上的臺灣高中畢業</w:t>
      </w:r>
      <w:r>
        <w:rPr>
          <w:spacing w:val="-4"/>
        </w:rPr>
        <w:t>生均可報名。考生</w:t>
      </w:r>
      <w:r>
        <w:rPr/>
        <w:t xml:space="preserve"> </w:t>
      </w:r>
      <w:r>
        <w:rPr>
          <w:spacing w:val="-6"/>
        </w:rPr>
        <w:t>所持證件須與考生本人資訊一致，且在有效期之內 。《臺灣居民來往</w:t>
      </w:r>
      <w:r>
        <w:rPr>
          <w:spacing w:val="10"/>
        </w:rPr>
        <w:t xml:space="preserve"> </w:t>
      </w:r>
      <w:r>
        <w:rPr>
          <w:spacing w:val="-8"/>
        </w:rPr>
        <w:t>大陸通行證》正在辦理中的，考生應在 </w:t>
      </w:r>
      <w:r>
        <w:rPr>
          <w:rFonts w:ascii="FangSong" w:hAnsi="FangSong" w:eastAsia="FangSong" w:cs="FangSong"/>
          <w:spacing w:val="-8"/>
        </w:rPr>
        <w:t>5</w:t>
      </w:r>
      <w:r>
        <w:rPr>
          <w:rFonts w:ascii="FangSong" w:hAnsi="FangSong" w:eastAsia="FangSong" w:cs="FangSong"/>
          <w:spacing w:val="-48"/>
        </w:rPr>
        <w:t xml:space="preserve"> </w:t>
      </w:r>
      <w:r>
        <w:rPr>
          <w:spacing w:val="-8"/>
        </w:rPr>
        <w:t>月 </w:t>
      </w:r>
      <w:r>
        <w:rPr>
          <w:rFonts w:ascii="FangSong" w:hAnsi="FangSong" w:eastAsia="FangSong" w:cs="FangSong"/>
          <w:spacing w:val="-8"/>
        </w:rPr>
        <w:t>1</w:t>
      </w:r>
      <w:r>
        <w:rPr>
          <w:rFonts w:ascii="FangSong" w:hAnsi="FangSong" w:eastAsia="FangSong" w:cs="FangSong"/>
          <w:spacing w:val="-9"/>
        </w:rPr>
        <w:t xml:space="preserve"> </w:t>
      </w:r>
      <w:r>
        <w:rPr>
          <w:spacing w:val="-9"/>
        </w:rPr>
        <w:t>日前上傳至系統</w:t>
      </w:r>
      <w:r>
        <w:rPr>
          <w:spacing w:val="-23"/>
        </w:rPr>
        <w:t xml:space="preserve"> </w:t>
      </w:r>
      <w:r>
        <w:rPr>
          <w:spacing w:val="-9"/>
        </w:rPr>
        <w:t>，逾期</w:t>
      </w:r>
      <w:r>
        <w:rPr/>
        <w:t xml:space="preserve"> </w:t>
      </w:r>
      <w:r>
        <w:rPr>
          <w:spacing w:val="5"/>
        </w:rPr>
        <w:t>不再受理。</w:t>
      </w:r>
    </w:p>
    <w:p>
      <w:pPr>
        <w:pStyle w:val="BodyText"/>
        <w:ind w:left="597"/>
        <w:spacing w:before="13" w:line="185" w:lineRule="auto"/>
        <w:outlineLvl w:val="1"/>
        <w:rPr/>
      </w:pPr>
      <w:r>
        <w:rPr>
          <w:rFonts w:ascii="FangSong" w:hAnsi="FangSong" w:eastAsia="FangSong" w:cs="FangSong"/>
          <w:b/>
          <w:bCs/>
          <w:spacing w:val="-4"/>
        </w:rPr>
        <w:t>2.</w:t>
      </w:r>
      <w:r>
        <w:rPr>
          <w:b/>
          <w:bCs/>
          <w:spacing w:val="-4"/>
        </w:rPr>
        <w:t>報名辦法</w:t>
      </w:r>
    </w:p>
    <w:p>
      <w:pPr>
        <w:spacing w:line="283" w:lineRule="auto"/>
        <w:rPr>
          <w:rFonts w:ascii="Arial"/>
          <w:sz w:val="21"/>
        </w:rPr>
      </w:pPr>
      <w:r/>
    </w:p>
    <w:p>
      <w:pPr>
        <w:pStyle w:val="BodyText"/>
        <w:ind w:left="589"/>
        <w:spacing w:before="120" w:line="185" w:lineRule="auto"/>
        <w:rPr/>
      </w:pPr>
      <w:r>
        <w:rPr>
          <w:spacing w:val="-14"/>
        </w:rPr>
        <w:t>報名時間</w:t>
      </w:r>
      <w:r>
        <w:rPr>
          <w:spacing w:val="-15"/>
        </w:rPr>
        <w:t xml:space="preserve"> </w:t>
      </w:r>
      <w:r>
        <w:rPr>
          <w:spacing w:val="-14"/>
        </w:rPr>
        <w:t>：</w:t>
      </w:r>
      <w:r>
        <w:rPr>
          <w:rFonts w:ascii="FangSong" w:hAnsi="FangSong" w:eastAsia="FangSong" w:cs="FangSong"/>
          <w:spacing w:val="-14"/>
        </w:rPr>
        <w:t>2024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-14"/>
        </w:rPr>
        <w:t>年</w:t>
      </w:r>
      <w:r>
        <w:rPr>
          <w:spacing w:val="17"/>
        </w:rPr>
        <w:t xml:space="preserve"> </w:t>
      </w:r>
      <w:r>
        <w:rPr>
          <w:rFonts w:ascii="FangSong" w:hAnsi="FangSong" w:eastAsia="FangSong" w:cs="FangSong"/>
          <w:spacing w:val="-14"/>
        </w:rPr>
        <w:t>3</w:t>
      </w:r>
      <w:r>
        <w:rPr>
          <w:rFonts w:ascii="FangSong" w:hAnsi="FangSong" w:eastAsia="FangSong" w:cs="FangSong"/>
          <w:spacing w:val="-47"/>
        </w:rPr>
        <w:t xml:space="preserve"> </w:t>
      </w:r>
      <w:r>
        <w:rPr>
          <w:spacing w:val="-14"/>
        </w:rPr>
        <w:t>月</w:t>
      </w:r>
      <w:r>
        <w:rPr>
          <w:spacing w:val="15"/>
        </w:rPr>
        <w:t xml:space="preserve"> </w:t>
      </w:r>
      <w:r>
        <w:rPr>
          <w:rFonts w:ascii="FangSong" w:hAnsi="FangSong" w:eastAsia="FangSong" w:cs="FangSong"/>
          <w:spacing w:val="-14"/>
        </w:rPr>
        <w:t>1</w:t>
      </w:r>
      <w:r>
        <w:rPr>
          <w:rFonts w:ascii="FangSong" w:hAnsi="FangSong" w:eastAsia="FangSong" w:cs="FangSong"/>
          <w:spacing w:val="-14"/>
        </w:rPr>
        <w:t xml:space="preserve"> </w:t>
      </w:r>
      <w:r>
        <w:rPr>
          <w:spacing w:val="-14"/>
        </w:rPr>
        <w:t>日至</w:t>
      </w:r>
      <w:r>
        <w:rPr>
          <w:spacing w:val="20"/>
        </w:rPr>
        <w:t xml:space="preserve"> </w:t>
      </w:r>
      <w:r>
        <w:rPr>
          <w:rFonts w:ascii="FangSong" w:hAnsi="FangSong" w:eastAsia="FangSong" w:cs="FangSong"/>
          <w:spacing w:val="-14"/>
        </w:rPr>
        <w:t>31</w:t>
      </w:r>
      <w:r>
        <w:rPr>
          <w:rFonts w:ascii="FangSong" w:hAnsi="FangSong" w:eastAsia="FangSong" w:cs="FangSong"/>
          <w:spacing w:val="-14"/>
        </w:rPr>
        <w:t xml:space="preserve"> </w:t>
      </w:r>
      <w:r>
        <w:rPr>
          <w:spacing w:val="-14"/>
        </w:rPr>
        <w:t>日</w:t>
      </w:r>
    </w:p>
    <w:p>
      <w:pPr>
        <w:pStyle w:val="BodyText"/>
        <w:ind w:left="31" w:right="251" w:firstLine="557"/>
        <w:spacing w:before="243" w:line="269" w:lineRule="auto"/>
        <w:rPr/>
      </w:pPr>
      <w:r>
        <w:rPr>
          <w:spacing w:val="-4"/>
        </w:rPr>
        <w:t>報名方式：考生登錄祖國大陸普通高校依據臺灣地區學測成績招</w:t>
      </w:r>
      <w:r>
        <w:rPr>
          <w:spacing w:val="3"/>
        </w:rPr>
        <w:t xml:space="preserve"> </w:t>
      </w:r>
      <w:r>
        <w:rPr>
          <w:spacing w:val="-8"/>
        </w:rPr>
        <w:t>收</w:t>
      </w:r>
      <w:r>
        <w:rPr>
          <w:spacing w:val="19"/>
        </w:rPr>
        <w:t xml:space="preserve">  </w:t>
      </w:r>
      <w:r>
        <w:rPr>
          <w:spacing w:val="-8"/>
        </w:rPr>
        <w:t>臺</w:t>
      </w:r>
      <w:r>
        <w:rPr>
          <w:spacing w:val="18"/>
        </w:rPr>
        <w:t xml:space="preserve">  </w:t>
      </w:r>
      <w:r>
        <w:rPr>
          <w:spacing w:val="-8"/>
        </w:rPr>
        <w:t>灣</w:t>
      </w:r>
      <w:r>
        <w:rPr>
          <w:spacing w:val="18"/>
        </w:rPr>
        <w:t xml:space="preserve">  </w:t>
      </w:r>
      <w:r>
        <w:rPr>
          <w:spacing w:val="-8"/>
        </w:rPr>
        <w:t>高</w:t>
      </w:r>
      <w:r>
        <w:rPr>
          <w:spacing w:val="30"/>
        </w:rPr>
        <w:t xml:space="preserve">  </w:t>
      </w:r>
      <w:r>
        <w:rPr>
          <w:spacing w:val="-8"/>
        </w:rPr>
        <w:t>中  畢</w:t>
      </w:r>
      <w:r>
        <w:rPr>
          <w:spacing w:val="18"/>
        </w:rPr>
        <w:t xml:space="preserve">  </w:t>
      </w:r>
      <w:r>
        <w:rPr>
          <w:spacing w:val="-8"/>
        </w:rPr>
        <w:t>業</w:t>
      </w:r>
      <w:r>
        <w:rPr>
          <w:spacing w:val="17"/>
        </w:rPr>
        <w:t xml:space="preserve">  </w:t>
      </w:r>
      <w:r>
        <w:rPr>
          <w:spacing w:val="-8"/>
        </w:rPr>
        <w:t>生</w:t>
      </w:r>
      <w:r>
        <w:rPr>
          <w:spacing w:val="18"/>
        </w:rPr>
        <w:t xml:space="preserve">  </w:t>
      </w:r>
      <w:r>
        <w:rPr>
          <w:spacing w:val="-8"/>
        </w:rPr>
        <w:t>系</w:t>
      </w:r>
      <w:r>
        <w:rPr>
          <w:spacing w:val="17"/>
        </w:rPr>
        <w:t xml:space="preserve">  </w:t>
      </w:r>
      <w:r>
        <w:rPr>
          <w:spacing w:val="-8"/>
        </w:rPr>
        <w:t>統</w:t>
      </w:r>
      <w:r>
        <w:rPr>
          <w:spacing w:val="19"/>
        </w:rPr>
        <w:t xml:space="preserve">  </w:t>
      </w:r>
      <w:r>
        <w:rPr>
          <w:spacing w:val="-8"/>
        </w:rPr>
        <w:t>進</w:t>
      </w:r>
      <w:r>
        <w:rPr>
          <w:spacing w:val="15"/>
        </w:rPr>
        <w:t xml:space="preserve">  </w:t>
      </w:r>
      <w:r>
        <w:rPr>
          <w:spacing w:val="-8"/>
        </w:rPr>
        <w:t>行</w:t>
      </w:r>
      <w:r>
        <w:rPr>
          <w:spacing w:val="18"/>
        </w:rPr>
        <w:t xml:space="preserve">  </w:t>
      </w:r>
      <w:r>
        <w:rPr>
          <w:spacing w:val="-8"/>
        </w:rPr>
        <w:t>報</w:t>
      </w:r>
      <w:r>
        <w:rPr>
          <w:spacing w:val="17"/>
        </w:rPr>
        <w:t xml:space="preserve">  </w:t>
      </w:r>
      <w:r>
        <w:rPr>
          <w:spacing w:val="-8"/>
        </w:rPr>
        <w:t>名  （   網</w:t>
      </w:r>
      <w:r>
        <w:rPr>
          <w:spacing w:val="15"/>
        </w:rPr>
        <w:t xml:space="preserve">  </w:t>
      </w:r>
      <w:r>
        <w:rPr>
          <w:spacing w:val="-8"/>
        </w:rPr>
        <w:t>址</w:t>
      </w:r>
      <w:r>
        <w:rPr>
          <w:spacing w:val="3"/>
        </w:rPr>
        <w:t xml:space="preserve">   </w:t>
      </w:r>
      <w:r>
        <w:rPr>
          <w:spacing w:val="-8"/>
        </w:rPr>
        <w:t>：</w:t>
      </w:r>
    </w:p>
    <w:p>
      <w:pPr>
        <w:pStyle w:val="BodyText"/>
        <w:spacing w:before="2" w:line="351" w:lineRule="auto"/>
        <w:jc w:val="right"/>
        <w:rPr/>
      </w:pPr>
      <w:hyperlink w:history="true" r:id="rId7">
        <w:r>
          <w:rPr>
            <w:rFonts w:ascii="FangSong" w:hAnsi="FangSong" w:eastAsia="FangSong" w:cs="FangSong"/>
            <w:u w:val="single" w:color="auto"/>
            <w:spacing w:val="-7"/>
          </w:rPr>
          <w:t>https://www.gatzs.com.cn/z/tw/</w:t>
        </w:r>
      </w:hyperlink>
      <w:r>
        <w:rPr>
          <w:rFonts w:ascii="FangSong" w:hAnsi="FangSong" w:eastAsia="FangSong" w:cs="FangSong"/>
          <w:spacing w:val="30"/>
        </w:rPr>
        <w:t xml:space="preserve"> </w:t>
      </w:r>
      <w:r>
        <w:rPr>
          <w:spacing w:val="-7"/>
        </w:rPr>
        <w:t>）。考生須按照要求輸入個人</w:t>
      </w:r>
      <w:r>
        <w:rPr>
          <w:spacing w:val="-8"/>
        </w:rPr>
        <w:t>信息</w:t>
      </w:r>
      <w:r>
        <w:rPr>
          <w:spacing w:val="-40"/>
        </w:rPr>
        <w:t xml:space="preserve"> </w:t>
      </w:r>
      <w:r>
        <w:rPr>
          <w:spacing w:val="-8"/>
        </w:rPr>
        <w:t>，</w:t>
      </w:r>
    </w:p>
    <w:p>
      <w:pPr>
        <w:pStyle w:val="BodyText"/>
        <w:ind w:left="18" w:right="252" w:firstLine="4"/>
        <w:spacing w:before="94" w:line="311" w:lineRule="auto"/>
        <w:jc w:val="both"/>
        <w:rPr/>
      </w:pPr>
      <w:r>
        <w:rPr>
          <w:spacing w:val="-3"/>
        </w:rPr>
        <w:t>上傳個人證件、電子照片、學測成績、考生誠信承諾書等基本材料，</w:t>
      </w:r>
      <w:r>
        <w:rPr>
          <w:spacing w:val="9"/>
        </w:rPr>
        <w:t xml:space="preserve"> </w:t>
      </w:r>
      <w:r>
        <w:rPr>
          <w:spacing w:val="-5"/>
        </w:rPr>
        <w:t>提交成績查驗授權書及報考高校要求的其他材料。報名截止前</w:t>
      </w:r>
      <w:r>
        <w:rPr>
          <w:spacing w:val="-31"/>
        </w:rPr>
        <w:t xml:space="preserve"> </w:t>
      </w:r>
      <w:r>
        <w:rPr>
          <w:spacing w:val="-5"/>
        </w:rPr>
        <w:t>，考生</w:t>
      </w:r>
      <w:r>
        <w:rPr/>
        <w:t xml:space="preserve"> </w:t>
      </w:r>
      <w:r>
        <w:rPr>
          <w:spacing w:val="-3"/>
        </w:rPr>
        <w:t>可修改基本材料和其他材料。報名截止後，考生原則上</w:t>
      </w:r>
      <w:r>
        <w:rPr>
          <w:spacing w:val="-4"/>
        </w:rPr>
        <w:t>不可修改基本</w:t>
      </w:r>
      <w:r>
        <w:rPr/>
        <w:t xml:space="preserve"> </w:t>
      </w:r>
      <w:r>
        <w:rPr>
          <w:spacing w:val="1"/>
        </w:rPr>
        <w:t>材料。考生應準確填寫個人網上報名信息並提供真實材</w:t>
      </w:r>
      <w:r>
        <w:rPr/>
        <w:t>料。</w:t>
      </w:r>
    </w:p>
    <w:p>
      <w:pPr>
        <w:pStyle w:val="BodyText"/>
        <w:ind w:left="589"/>
        <w:spacing w:before="4" w:line="185" w:lineRule="auto"/>
        <w:rPr/>
      </w:pPr>
      <w:r>
        <w:rPr>
          <w:spacing w:val="-1"/>
        </w:rPr>
        <w:t>系統報名不收取考生報考費 。</w:t>
      </w:r>
    </w:p>
    <w:p>
      <w:pPr>
        <w:ind w:left="674"/>
        <w:spacing w:before="226" w:line="220" w:lineRule="auto"/>
        <w:outlineLvl w:val="0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b/>
          <w:bCs/>
          <w:spacing w:val="-9"/>
        </w:rPr>
        <w:t>三、</w:t>
      </w:r>
      <w:r>
        <w:rPr>
          <w:rFonts w:ascii="SimHei" w:hAnsi="SimHei" w:eastAsia="SimHei" w:cs="SimHei"/>
          <w:sz w:val="28"/>
          <w:szCs w:val="28"/>
          <w:spacing w:val="35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  <w:spacing w:val="-9"/>
        </w:rPr>
        <w:t>審核</w:t>
      </w:r>
    </w:p>
    <w:p>
      <w:pPr>
        <w:pStyle w:val="BodyText"/>
        <w:ind w:left="585"/>
        <w:spacing w:before="333" w:line="185" w:lineRule="auto"/>
        <w:rPr/>
      </w:pPr>
      <w:r>
        <w:rPr>
          <w:spacing w:val="-11"/>
        </w:rPr>
        <w:t>審核時間</w:t>
      </w:r>
      <w:r>
        <w:rPr>
          <w:spacing w:val="-16"/>
        </w:rPr>
        <w:t xml:space="preserve"> </w:t>
      </w:r>
      <w:r>
        <w:rPr>
          <w:spacing w:val="-11"/>
        </w:rPr>
        <w:t>：</w:t>
      </w:r>
      <w:r>
        <w:rPr>
          <w:rFonts w:ascii="FangSong" w:hAnsi="FangSong" w:eastAsia="FangSong" w:cs="FangSong"/>
          <w:spacing w:val="-11"/>
        </w:rPr>
        <w:t>2024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-11"/>
        </w:rPr>
        <w:t>年 </w:t>
      </w:r>
      <w:r>
        <w:rPr>
          <w:rFonts w:ascii="FangSong" w:hAnsi="FangSong" w:eastAsia="FangSong" w:cs="FangSong"/>
          <w:spacing w:val="-11"/>
        </w:rPr>
        <w:t>4</w:t>
      </w:r>
      <w:r>
        <w:rPr>
          <w:rFonts w:ascii="FangSong" w:hAnsi="FangSong" w:eastAsia="FangSong" w:cs="FangSong"/>
          <w:spacing w:val="-47"/>
        </w:rPr>
        <w:t xml:space="preserve"> </w:t>
      </w:r>
      <w:r>
        <w:rPr>
          <w:spacing w:val="-11"/>
        </w:rPr>
        <w:t>月</w:t>
      </w:r>
      <w:r>
        <w:rPr>
          <w:spacing w:val="15"/>
        </w:rPr>
        <w:t xml:space="preserve"> </w:t>
      </w:r>
      <w:r>
        <w:rPr>
          <w:rFonts w:ascii="FangSong" w:hAnsi="FangSong" w:eastAsia="FangSong" w:cs="FangSong"/>
          <w:spacing w:val="-11"/>
        </w:rPr>
        <w:t>1</w:t>
      </w:r>
      <w:r>
        <w:rPr>
          <w:rFonts w:ascii="FangSong" w:hAnsi="FangSong" w:eastAsia="FangSong" w:cs="FangSong"/>
          <w:spacing w:val="-11"/>
        </w:rPr>
        <w:t xml:space="preserve"> </w:t>
      </w:r>
      <w:r>
        <w:rPr>
          <w:spacing w:val="-11"/>
        </w:rPr>
        <w:t>日至 </w:t>
      </w:r>
      <w:r>
        <w:rPr>
          <w:rFonts w:ascii="FangSong" w:hAnsi="FangSong" w:eastAsia="FangSong" w:cs="FangSong"/>
          <w:spacing w:val="-11"/>
        </w:rPr>
        <w:t>5</w:t>
      </w:r>
      <w:r>
        <w:rPr>
          <w:rFonts w:ascii="FangSong" w:hAnsi="FangSong" w:eastAsia="FangSong" w:cs="FangSong"/>
          <w:spacing w:val="-46"/>
        </w:rPr>
        <w:t xml:space="preserve"> </w:t>
      </w:r>
      <w:r>
        <w:rPr>
          <w:spacing w:val="-11"/>
        </w:rPr>
        <w:t>月 </w:t>
      </w:r>
      <w:r>
        <w:rPr>
          <w:rFonts w:ascii="FangSong" w:hAnsi="FangSong" w:eastAsia="FangSong" w:cs="FangSong"/>
          <w:spacing w:val="-11"/>
        </w:rPr>
        <w:t>14</w:t>
      </w:r>
      <w:r>
        <w:rPr>
          <w:rFonts w:ascii="FangSong" w:hAnsi="FangSong" w:eastAsia="FangSong" w:cs="FangSong"/>
          <w:spacing w:val="-11"/>
        </w:rPr>
        <w:t xml:space="preserve"> </w:t>
      </w:r>
      <w:r>
        <w:rPr>
          <w:spacing w:val="-11"/>
        </w:rPr>
        <w:t>日</w:t>
      </w:r>
    </w:p>
    <w:p>
      <w:pPr>
        <w:pStyle w:val="BodyText"/>
        <w:ind w:left="585"/>
        <w:spacing w:before="243" w:line="185" w:lineRule="auto"/>
        <w:rPr/>
      </w:pPr>
      <w:r>
        <w:rPr>
          <w:spacing w:val="-4"/>
        </w:rPr>
        <w:t>考生應及時登錄系統查看審核結果。初審通過的考生應關注我校</w:t>
      </w:r>
    </w:p>
    <w:p>
      <w:pPr>
        <w:spacing w:line="185" w:lineRule="auto"/>
        <w:sectPr>
          <w:footerReference w:type="default" r:id="rId6"/>
          <w:pgSz w:w="11907" w:h="16839"/>
          <w:pgMar w:top="1219" w:right="1524" w:bottom="2018" w:left="1785" w:header="0" w:footer="1769" w:gutter="0"/>
        </w:sectPr>
        <w:rPr/>
      </w:pPr>
    </w:p>
    <w:p>
      <w:pPr>
        <w:pStyle w:val="BodyText"/>
        <w:spacing w:before="124" w:line="352" w:lineRule="auto"/>
        <w:jc w:val="right"/>
        <w:rPr/>
      </w:pPr>
      <w:r>
        <w:rPr>
          <w:spacing w:val="1"/>
        </w:rPr>
        <w:t>本科招生網（</w:t>
      </w:r>
      <w:hyperlink w:history="true" r:id="rId9">
        <w:r>
          <w:rPr>
            <w:rFonts w:ascii="FangSong" w:hAnsi="FangSong" w:eastAsia="FangSong" w:cs="FangSong"/>
            <w:u w:val="single" w:color="auto"/>
            <w:color w:val="0563C1"/>
          </w:rPr>
          <w:t>http</w:t>
        </w:r>
        <w:r>
          <w:rPr>
            <w:rFonts w:ascii="FangSong" w:hAnsi="FangSong" w:eastAsia="FangSong" w:cs="FangSong"/>
            <w:u w:val="single" w:color="auto"/>
            <w:color w:val="0563C1"/>
            <w:spacing w:val="1"/>
          </w:rPr>
          <w:t>://</w:t>
        </w:r>
        <w:r>
          <w:rPr>
            <w:rFonts w:ascii="FangSong" w:hAnsi="FangSong" w:eastAsia="FangSong" w:cs="FangSong"/>
            <w:u w:val="single" w:color="auto"/>
            <w:color w:val="0563C1"/>
          </w:rPr>
          <w:t>zsjy</w:t>
        </w:r>
        <w:r>
          <w:rPr>
            <w:rFonts w:ascii="FangSong" w:hAnsi="FangSong" w:eastAsia="FangSong" w:cs="FangSong"/>
            <w:u w:val="single" w:color="auto"/>
            <w:color w:val="0563C1"/>
            <w:spacing w:val="1"/>
          </w:rPr>
          <w:t>.</w:t>
        </w:r>
        <w:r>
          <w:rPr>
            <w:rFonts w:ascii="FangSong" w:hAnsi="FangSong" w:eastAsia="FangSong" w:cs="FangSong"/>
            <w:u w:val="single" w:color="auto"/>
            <w:color w:val="0563C1"/>
          </w:rPr>
          <w:t>gzhu</w:t>
        </w:r>
        <w:r>
          <w:rPr>
            <w:rFonts w:ascii="FangSong" w:hAnsi="FangSong" w:eastAsia="FangSong" w:cs="FangSong"/>
            <w:u w:val="single" w:color="auto"/>
            <w:color w:val="0563C1"/>
            <w:spacing w:val="1"/>
          </w:rPr>
          <w:t>.</w:t>
        </w:r>
        <w:r>
          <w:rPr>
            <w:rFonts w:ascii="FangSong" w:hAnsi="FangSong" w:eastAsia="FangSong" w:cs="FangSong"/>
            <w:u w:val="single" w:color="auto"/>
            <w:color w:val="0563C1"/>
          </w:rPr>
          <w:t>edu</w:t>
        </w:r>
        <w:r>
          <w:rPr>
            <w:rFonts w:ascii="FangSong" w:hAnsi="FangSong" w:eastAsia="FangSong" w:cs="FangSong"/>
            <w:u w:val="single" w:color="auto"/>
            <w:color w:val="0563C1"/>
            <w:spacing w:val="1"/>
          </w:rPr>
          <w:t>.</w:t>
        </w:r>
        <w:r>
          <w:rPr>
            <w:rFonts w:ascii="FangSong" w:hAnsi="FangSong" w:eastAsia="FangSong" w:cs="FangSong"/>
            <w:u w:val="single" w:color="auto"/>
            <w:color w:val="0563C1"/>
          </w:rPr>
          <w:t>cn</w:t>
        </w:r>
      </w:hyperlink>
      <w:r>
        <w:rPr>
          <w:rFonts w:ascii="FangSong" w:hAnsi="FangSong" w:eastAsia="FangSong" w:cs="FangSong"/>
          <w:color w:val="0563C1"/>
          <w:spacing w:val="1"/>
        </w:rPr>
        <w:t xml:space="preserve"> </w:t>
      </w:r>
      <w:r>
        <w:rPr>
          <w:spacing w:val="1"/>
        </w:rPr>
        <w:t>）及微信公眾號“廣大招生”</w:t>
      </w:r>
    </w:p>
    <w:p>
      <w:pPr>
        <w:pStyle w:val="BodyText"/>
        <w:ind w:left="18" w:right="420" w:firstLine="4"/>
        <w:spacing w:before="91" w:line="308" w:lineRule="auto"/>
        <w:jc w:val="both"/>
        <w:rPr/>
      </w:pPr>
      <w:r>
        <w:rPr>
          <w:spacing w:val="-3"/>
        </w:rPr>
        <w:t>相關通知。系統顯示需要更正或補充材料的，</w:t>
      </w:r>
      <w:r>
        <w:rPr>
          <w:spacing w:val="-4"/>
        </w:rPr>
        <w:t>請在規定時間內更正或</w:t>
      </w:r>
      <w:r>
        <w:rPr/>
        <w:t xml:space="preserve"> </w:t>
      </w:r>
      <w:r>
        <w:rPr>
          <w:spacing w:val="-3"/>
        </w:rPr>
        <w:t>補充有關材料，提交後及時查看審核結果，逾期提</w:t>
      </w:r>
      <w:r>
        <w:rPr>
          <w:spacing w:val="-4"/>
        </w:rPr>
        <w:t>交不再受理。系統</w:t>
      </w:r>
      <w:r>
        <w:rPr/>
        <w:t xml:space="preserve"> </w:t>
      </w:r>
      <w:r>
        <w:rPr>
          <w:spacing w:val="-3"/>
        </w:rPr>
        <w:t>顯示審核不通過的考生不得參加錄取。資格造假的</w:t>
      </w:r>
      <w:r>
        <w:rPr>
          <w:spacing w:val="-4"/>
        </w:rPr>
        <w:t>考生按有關規定取</w:t>
      </w:r>
      <w:r>
        <w:rPr/>
        <w:t xml:space="preserve"> </w:t>
      </w:r>
      <w:r>
        <w:rPr>
          <w:spacing w:val="1"/>
        </w:rPr>
        <w:t>消報考資格，已錄取的取消錄取資格。</w:t>
      </w:r>
    </w:p>
    <w:p>
      <w:pPr>
        <w:ind w:left="685"/>
        <w:spacing w:line="218" w:lineRule="auto"/>
        <w:outlineLvl w:val="0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b/>
          <w:bCs/>
          <w:spacing w:val="-11"/>
        </w:rPr>
        <w:t>四、</w:t>
      </w:r>
      <w:r>
        <w:rPr>
          <w:rFonts w:ascii="SimHei" w:hAnsi="SimHei" w:eastAsia="SimHei" w:cs="SimHei"/>
          <w:sz w:val="28"/>
          <w:szCs w:val="28"/>
          <w:spacing w:val="28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  <w:spacing w:val="-11"/>
        </w:rPr>
        <w:t>錄取</w:t>
      </w:r>
    </w:p>
    <w:p>
      <w:pPr>
        <w:pStyle w:val="BodyText"/>
        <w:ind w:left="23" w:right="336" w:firstLine="586"/>
        <w:spacing w:before="337" w:line="306" w:lineRule="auto"/>
        <w:rPr/>
      </w:pPr>
      <w:r>
        <w:rPr>
          <w:rFonts w:ascii="FangSong" w:hAnsi="FangSong" w:eastAsia="FangSong" w:cs="FangSong"/>
          <w:spacing w:val="-5"/>
        </w:rPr>
        <w:t>1.</w:t>
      </w:r>
      <w:r>
        <w:rPr>
          <w:spacing w:val="-5"/>
        </w:rPr>
        <w:t>我校將對申請材料進行審核，依據臺灣地區大學入學考試學科</w:t>
      </w:r>
      <w:r>
        <w:rPr>
          <w:spacing w:val="8"/>
        </w:rPr>
        <w:t xml:space="preserve">  </w:t>
      </w:r>
      <w:r>
        <w:rPr>
          <w:spacing w:val="-1"/>
        </w:rPr>
        <w:t>能力測試考試科目的分科成績及相應標級並結合申請材料擇優錄取；</w:t>
      </w:r>
    </w:p>
    <w:p>
      <w:pPr>
        <w:pStyle w:val="BodyText"/>
        <w:ind w:left="18" w:right="394" w:firstLine="584"/>
        <w:spacing w:before="25" w:line="304" w:lineRule="auto"/>
        <w:rPr/>
      </w:pPr>
      <w:r>
        <w:rPr>
          <w:rFonts w:ascii="FangSong" w:hAnsi="FangSong" w:eastAsia="FangSong" w:cs="FangSong"/>
          <w:spacing w:val="-7"/>
        </w:rPr>
        <w:t>2.</w:t>
      </w:r>
      <w:r>
        <w:rPr>
          <w:spacing w:val="-7"/>
        </w:rPr>
        <w:t>考生參加 </w:t>
      </w:r>
      <w:r>
        <w:rPr>
          <w:rFonts w:ascii="FangSong" w:hAnsi="FangSong" w:eastAsia="FangSong" w:cs="FangSong"/>
          <w:spacing w:val="-7"/>
        </w:rPr>
        <w:t>2024</w:t>
      </w:r>
      <w:r>
        <w:rPr>
          <w:rFonts w:ascii="FangSong" w:hAnsi="FangSong" w:eastAsia="FangSong" w:cs="FangSong"/>
          <w:spacing w:val="-82"/>
        </w:rPr>
        <w:t xml:space="preserve"> </w:t>
      </w:r>
      <w:r>
        <w:rPr>
          <w:spacing w:val="-7"/>
        </w:rPr>
        <w:t>年臺灣地區大學入學考</w:t>
      </w:r>
      <w:r>
        <w:rPr>
          <w:spacing w:val="-8"/>
        </w:rPr>
        <w:t>試學科能力測試，語文、</w:t>
      </w:r>
      <w:r>
        <w:rPr/>
        <w:t xml:space="preserve"> </w:t>
      </w:r>
      <w:r>
        <w:rPr>
          <w:spacing w:val="-10"/>
        </w:rPr>
        <w:t>數學 </w:t>
      </w:r>
      <w:r>
        <w:rPr>
          <w:rFonts w:ascii="FangSong" w:hAnsi="FangSong" w:eastAsia="FangSong" w:cs="FangSong"/>
          <w:spacing w:val="-10"/>
        </w:rPr>
        <w:t>A/B</w:t>
      </w:r>
      <w:r>
        <w:rPr>
          <w:spacing w:val="-10"/>
        </w:rPr>
        <w:t>（專業對數學成績的限制要求請參考招生專業目錄）、英文考</w:t>
      </w:r>
      <w:r>
        <w:rPr>
          <w:spacing w:val="12"/>
        </w:rPr>
        <w:t xml:space="preserve"> </w:t>
      </w:r>
      <w:r>
        <w:rPr>
          <w:spacing w:val="1"/>
        </w:rPr>
        <w:t>試均達到均標級（含）以上；</w:t>
      </w:r>
    </w:p>
    <w:p>
      <w:pPr>
        <w:pStyle w:val="BodyText"/>
        <w:ind w:left="18" w:right="420" w:firstLine="594"/>
        <w:spacing w:before="43" w:line="309" w:lineRule="auto"/>
        <w:rPr/>
      </w:pPr>
      <w:r>
        <w:rPr>
          <w:rFonts w:ascii="FangSong" w:hAnsi="FangSong" w:eastAsia="FangSong" w:cs="FangSong"/>
          <w:spacing w:val="-10"/>
        </w:rPr>
        <w:t>3.</w:t>
      </w:r>
      <w:r>
        <w:rPr>
          <w:spacing w:val="-10"/>
        </w:rPr>
        <w:t>系統將於 </w:t>
      </w:r>
      <w:r>
        <w:rPr>
          <w:rFonts w:ascii="FangSong" w:hAnsi="FangSong" w:eastAsia="FangSong" w:cs="FangSong"/>
          <w:spacing w:val="-10"/>
        </w:rPr>
        <w:t>5</w:t>
      </w:r>
      <w:r>
        <w:rPr>
          <w:rFonts w:ascii="FangSong" w:hAnsi="FangSong" w:eastAsia="FangSong" w:cs="FangSong"/>
          <w:spacing w:val="-47"/>
        </w:rPr>
        <w:t xml:space="preserve"> </w:t>
      </w:r>
      <w:r>
        <w:rPr>
          <w:spacing w:val="-10"/>
        </w:rPr>
        <w:t>月 </w:t>
      </w:r>
      <w:r>
        <w:rPr>
          <w:rFonts w:ascii="FangSong" w:hAnsi="FangSong" w:eastAsia="FangSong" w:cs="FangSong"/>
          <w:spacing w:val="-10"/>
        </w:rPr>
        <w:t>15</w:t>
      </w:r>
      <w:r>
        <w:rPr>
          <w:rFonts w:ascii="FangSong" w:hAnsi="FangSong" w:eastAsia="FangSong" w:cs="FangSong"/>
          <w:spacing w:val="-10"/>
        </w:rPr>
        <w:t xml:space="preserve"> </w:t>
      </w:r>
      <w:r>
        <w:rPr>
          <w:spacing w:val="-10"/>
        </w:rPr>
        <w:t>日統一公佈擬錄取名單。考生須于 </w:t>
      </w:r>
      <w:r>
        <w:rPr>
          <w:rFonts w:ascii="FangSong" w:hAnsi="FangSong" w:eastAsia="FangSong" w:cs="FangSong"/>
          <w:spacing w:val="-10"/>
        </w:rPr>
        <w:t>5</w:t>
      </w:r>
      <w:r>
        <w:rPr>
          <w:rFonts w:ascii="FangSong" w:hAnsi="FangSong" w:eastAsia="FangSong" w:cs="FangSong"/>
          <w:spacing w:val="-50"/>
        </w:rPr>
        <w:t xml:space="preserve"> </w:t>
      </w:r>
      <w:r>
        <w:rPr>
          <w:spacing w:val="-10"/>
        </w:rPr>
        <w:t>月</w:t>
      </w:r>
      <w:r>
        <w:rPr>
          <w:spacing w:val="-11"/>
        </w:rPr>
        <w:t xml:space="preserve"> </w:t>
      </w:r>
      <w:r>
        <w:rPr>
          <w:rFonts w:ascii="FangSong" w:hAnsi="FangSong" w:eastAsia="FangSong" w:cs="FangSong"/>
          <w:spacing w:val="-11"/>
        </w:rPr>
        <w:t>15</w:t>
      </w:r>
      <w:r>
        <w:rPr>
          <w:rFonts w:ascii="FangSong" w:hAnsi="FangSong" w:eastAsia="FangSong" w:cs="FangSong"/>
          <w:spacing w:val="-11"/>
        </w:rPr>
        <w:t xml:space="preserve"> </w:t>
      </w:r>
      <w:r>
        <w:rPr>
          <w:spacing w:val="-11"/>
        </w:rPr>
        <w:t>日</w:t>
      </w:r>
      <w:r>
        <w:rPr/>
        <w:t xml:space="preserve"> </w:t>
      </w:r>
      <w:r>
        <w:rPr>
          <w:spacing w:val="-8"/>
        </w:rPr>
        <w:t>至</w:t>
      </w:r>
      <w:r>
        <w:rPr>
          <w:spacing w:val="58"/>
        </w:rPr>
        <w:t xml:space="preserve"> </w:t>
      </w:r>
      <w:r>
        <w:rPr>
          <w:rFonts w:ascii="FangSong" w:hAnsi="FangSong" w:eastAsia="FangSong" w:cs="FangSong"/>
          <w:spacing w:val="-8"/>
        </w:rPr>
        <w:t>19</w:t>
      </w:r>
      <w:r>
        <w:rPr>
          <w:rFonts w:ascii="FangSong" w:hAnsi="FangSong" w:eastAsia="FangSong" w:cs="FangSong"/>
          <w:spacing w:val="-8"/>
        </w:rPr>
        <w:t xml:space="preserve"> </w:t>
      </w:r>
      <w:r>
        <w:rPr>
          <w:spacing w:val="-8"/>
        </w:rPr>
        <w:t>日期間登錄系統查詢本人錄取情況 ，進行錄取確認 。逾期未確</w:t>
      </w:r>
      <w:r>
        <w:rPr/>
        <w:t xml:space="preserve"> </w:t>
      </w:r>
      <w:r>
        <w:rPr/>
        <w:t>認的考生視為放棄錄取資格，且不得參加徵集志願報名；</w:t>
      </w:r>
    </w:p>
    <w:p>
      <w:pPr>
        <w:pStyle w:val="BodyText"/>
        <w:ind w:left="601"/>
        <w:spacing w:before="19" w:line="185" w:lineRule="auto"/>
        <w:rPr/>
      </w:pPr>
      <w:r>
        <w:rPr>
          <w:rFonts w:ascii="FangSong" w:hAnsi="FangSong" w:eastAsia="FangSong" w:cs="FangSong"/>
          <w:spacing w:val="-1"/>
        </w:rPr>
        <w:t>4.</w:t>
      </w:r>
      <w:r>
        <w:rPr>
          <w:spacing w:val="-1"/>
        </w:rPr>
        <w:t>學校在考生確認後，學校將在本科招生網上公示錄取名單 ；</w:t>
      </w:r>
    </w:p>
    <w:p>
      <w:pPr>
        <w:pStyle w:val="BodyText"/>
        <w:ind w:left="18" w:right="423" w:firstLine="587"/>
        <w:spacing w:before="252" w:line="304" w:lineRule="auto"/>
        <w:rPr/>
      </w:pPr>
      <w:r>
        <w:rPr>
          <w:rFonts w:ascii="FangSong" w:hAnsi="FangSong" w:eastAsia="FangSong" w:cs="FangSong"/>
          <w:spacing w:val="-6"/>
        </w:rPr>
        <w:t>5.</w:t>
      </w:r>
      <w:r>
        <w:rPr>
          <w:spacing w:val="-6"/>
        </w:rPr>
        <w:t>學校將在 </w:t>
      </w:r>
      <w:r>
        <w:rPr>
          <w:rFonts w:ascii="FangSong" w:hAnsi="FangSong" w:eastAsia="FangSong" w:cs="FangSong"/>
          <w:spacing w:val="-6"/>
        </w:rPr>
        <w:t>7</w:t>
      </w:r>
      <w:r>
        <w:rPr>
          <w:rFonts w:ascii="FangSong" w:hAnsi="FangSong" w:eastAsia="FangSong" w:cs="FangSong"/>
          <w:spacing w:val="-48"/>
        </w:rPr>
        <w:t xml:space="preserve"> </w:t>
      </w:r>
      <w:r>
        <w:rPr>
          <w:spacing w:val="-6"/>
        </w:rPr>
        <w:t>月底至 </w:t>
      </w:r>
      <w:r>
        <w:rPr>
          <w:rFonts w:ascii="FangSong" w:hAnsi="FangSong" w:eastAsia="FangSong" w:cs="FangSong"/>
          <w:spacing w:val="-6"/>
        </w:rPr>
        <w:t>8</w:t>
      </w:r>
      <w:r>
        <w:rPr>
          <w:rFonts w:ascii="FangSong" w:hAnsi="FangSong" w:eastAsia="FangSong" w:cs="FangSong"/>
          <w:spacing w:val="-47"/>
        </w:rPr>
        <w:t xml:space="preserve"> </w:t>
      </w:r>
      <w:r>
        <w:rPr>
          <w:spacing w:val="-6"/>
        </w:rPr>
        <w:t>月初寄發錄取通知</w:t>
      </w:r>
      <w:r>
        <w:rPr>
          <w:spacing w:val="-7"/>
        </w:rPr>
        <w:t>書（在系統填報的收件</w:t>
      </w:r>
      <w:r>
        <w:rPr/>
        <w:t xml:space="preserve"> </w:t>
      </w:r>
      <w:r>
        <w:rPr>
          <w:spacing w:val="-1"/>
        </w:rPr>
        <w:t>位址與電話須準確有效，確保能收到通知書</w:t>
      </w:r>
      <w:r>
        <w:rPr>
          <w:spacing w:val="-23"/>
        </w:rPr>
        <w:t>）；</w:t>
      </w:r>
    </w:p>
    <w:p>
      <w:pPr>
        <w:pStyle w:val="BodyText"/>
        <w:ind w:left="18" w:right="420" w:firstLine="586"/>
        <w:spacing w:before="30" w:line="310" w:lineRule="auto"/>
        <w:rPr/>
      </w:pPr>
      <w:r>
        <w:rPr>
          <w:rFonts w:ascii="FangSong" w:hAnsi="FangSong" w:eastAsia="FangSong" w:cs="FangSong"/>
          <w:spacing w:val="-4"/>
        </w:rPr>
        <w:t>6.</w:t>
      </w:r>
      <w:r>
        <w:rPr>
          <w:spacing w:val="-4"/>
        </w:rPr>
        <w:t>若出現新增招生計畫或未完成招生計畫的情</w:t>
      </w:r>
      <w:r>
        <w:rPr>
          <w:spacing w:val="-5"/>
        </w:rPr>
        <w:t>況，學校將通過徵</w:t>
      </w:r>
      <w:r>
        <w:rPr/>
        <w:t xml:space="preserve"> </w:t>
      </w:r>
      <w:r>
        <w:rPr>
          <w:spacing w:val="-3"/>
        </w:rPr>
        <w:t>集志願進行補錄。若已完成招生計畫並且不增加招</w:t>
      </w:r>
      <w:r>
        <w:rPr>
          <w:spacing w:val="-4"/>
        </w:rPr>
        <w:t>生計畫則不再參與</w:t>
      </w:r>
      <w:r>
        <w:rPr/>
        <w:t xml:space="preserve"> </w:t>
      </w:r>
      <w:r>
        <w:rPr>
          <w:spacing w:val="-8"/>
        </w:rPr>
        <w:t>徵集志願。系統徵集志願報名時間為 </w:t>
      </w:r>
      <w:r>
        <w:rPr>
          <w:rFonts w:ascii="FangSong" w:hAnsi="FangSong" w:eastAsia="FangSong" w:cs="FangSong"/>
          <w:spacing w:val="-8"/>
        </w:rPr>
        <w:t>5</w:t>
      </w:r>
      <w:r>
        <w:rPr>
          <w:rFonts w:ascii="FangSong" w:hAnsi="FangSong" w:eastAsia="FangSong" w:cs="FangSong"/>
          <w:spacing w:val="-47"/>
        </w:rPr>
        <w:t xml:space="preserve"> </w:t>
      </w:r>
      <w:r>
        <w:rPr>
          <w:spacing w:val="-8"/>
        </w:rPr>
        <w:t>月 </w:t>
      </w:r>
      <w:r>
        <w:rPr>
          <w:rFonts w:ascii="FangSong" w:hAnsi="FangSong" w:eastAsia="FangSong" w:cs="FangSong"/>
          <w:spacing w:val="-8"/>
        </w:rPr>
        <w:t>21</w:t>
      </w:r>
      <w:r>
        <w:rPr>
          <w:rFonts w:ascii="FangSong" w:hAnsi="FangSong" w:eastAsia="FangSong" w:cs="FangSong"/>
          <w:spacing w:val="-8"/>
        </w:rPr>
        <w:t xml:space="preserve"> </w:t>
      </w:r>
      <w:r>
        <w:rPr>
          <w:spacing w:val="-8"/>
        </w:rPr>
        <w:t>日至 </w:t>
      </w:r>
      <w:r>
        <w:rPr>
          <w:rFonts w:ascii="FangSong" w:hAnsi="FangSong" w:eastAsia="FangSong" w:cs="FangSong"/>
          <w:spacing w:val="-8"/>
        </w:rPr>
        <w:t>3</w:t>
      </w:r>
      <w:r>
        <w:rPr>
          <w:rFonts w:ascii="FangSong" w:hAnsi="FangSong" w:eastAsia="FangSong" w:cs="FangSong"/>
          <w:spacing w:val="-9"/>
        </w:rPr>
        <w:t>1</w:t>
      </w:r>
      <w:r>
        <w:rPr>
          <w:rFonts w:ascii="FangSong" w:hAnsi="FangSong" w:eastAsia="FangSong" w:cs="FangSong"/>
          <w:spacing w:val="-9"/>
        </w:rPr>
        <w:t xml:space="preserve"> </w:t>
      </w:r>
      <w:r>
        <w:rPr>
          <w:spacing w:val="-9"/>
        </w:rPr>
        <w:t>日，首輪已報名</w:t>
      </w:r>
      <w:r>
        <w:rPr/>
        <w:t xml:space="preserve"> </w:t>
      </w:r>
      <w:r>
        <w:rPr>
          <w:spacing w:val="-5"/>
        </w:rPr>
        <w:t>的考生無需重新註冊 ，填報志願 、提交我校要求的其他材料即可。</w:t>
      </w:r>
    </w:p>
    <w:p>
      <w:pPr>
        <w:spacing w:line="310" w:lineRule="auto"/>
        <w:sectPr>
          <w:footerReference w:type="default" r:id="rId8"/>
          <w:pgSz w:w="11907" w:h="16839"/>
          <w:pgMar w:top="1009" w:right="1374" w:bottom="2018" w:left="1785" w:header="0" w:footer="1769" w:gutter="0"/>
        </w:sectPr>
        <w:rPr/>
      </w:pPr>
    </w:p>
    <w:p>
      <w:pPr>
        <w:ind w:left="676"/>
        <w:spacing w:before="55" w:line="219" w:lineRule="auto"/>
        <w:outlineLvl w:val="0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b/>
          <w:bCs/>
          <w:spacing w:val="-7"/>
        </w:rPr>
        <w:t>五、</w:t>
      </w:r>
      <w:r>
        <w:rPr>
          <w:rFonts w:ascii="SimHei" w:hAnsi="SimHei" w:eastAsia="SimHei" w:cs="SimHei"/>
          <w:sz w:val="28"/>
          <w:szCs w:val="28"/>
          <w:spacing w:val="35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  <w:spacing w:val="-7"/>
        </w:rPr>
        <w:t>報到與體檢</w:t>
      </w:r>
    </w:p>
    <w:p>
      <w:pPr>
        <w:pStyle w:val="BodyText"/>
        <w:ind w:left="18" w:right="69" w:firstLine="590"/>
        <w:spacing w:before="336" w:line="309" w:lineRule="auto"/>
        <w:jc w:val="both"/>
        <w:rPr/>
      </w:pPr>
      <w:r>
        <w:rPr>
          <w:rFonts w:ascii="FangSong" w:hAnsi="FangSong" w:eastAsia="FangSong" w:cs="FangSong"/>
          <w:spacing w:val="-6"/>
        </w:rPr>
        <w:t>1.</w:t>
      </w:r>
      <w:r>
        <w:rPr>
          <w:spacing w:val="-6"/>
        </w:rPr>
        <w:t>新生入學報到時 ，須持有效的《臺灣居</w:t>
      </w:r>
      <w:r>
        <w:rPr>
          <w:spacing w:val="-7"/>
        </w:rPr>
        <w:t>民來往大陸通行證》，</w:t>
      </w:r>
      <w:r>
        <w:rPr/>
        <w:t xml:space="preserve"> </w:t>
      </w:r>
      <w:r>
        <w:rPr>
          <w:spacing w:val="-3"/>
        </w:rPr>
        <w:t>所持出入境證件的有效期應與學習期限相適應。報</w:t>
      </w:r>
      <w:r>
        <w:rPr>
          <w:spacing w:val="-4"/>
        </w:rPr>
        <w:t>到時間以《錄取通</w:t>
      </w:r>
      <w:r>
        <w:rPr/>
        <w:t xml:space="preserve"> </w:t>
      </w:r>
      <w:r>
        <w:rPr>
          <w:spacing w:val="1"/>
        </w:rPr>
        <w:t>知書》上規定的時間為准；</w:t>
      </w:r>
    </w:p>
    <w:p>
      <w:pPr>
        <w:pStyle w:val="BodyText"/>
        <w:ind w:left="23" w:right="58" w:firstLine="579"/>
        <w:spacing w:before="18" w:line="306" w:lineRule="auto"/>
        <w:rPr/>
      </w:pPr>
      <w:r>
        <w:rPr>
          <w:rFonts w:ascii="FangSong" w:hAnsi="FangSong" w:eastAsia="FangSong" w:cs="FangSong"/>
          <w:spacing w:val="-3"/>
        </w:rPr>
        <w:t>2.</w:t>
      </w:r>
      <w:r>
        <w:rPr>
          <w:spacing w:val="-3"/>
        </w:rPr>
        <w:t>因故不能按時報到者，應提前向所在學院請假，並獲得批</w:t>
      </w:r>
      <w:r>
        <w:rPr>
          <w:spacing w:val="-4"/>
        </w:rPr>
        <w:t>准。</w:t>
      </w:r>
      <w:r>
        <w:rPr/>
        <w:t xml:space="preserve"> </w:t>
      </w:r>
      <w:r>
        <w:rPr/>
        <w:t>在規定時間內未報到又未請假者取消其入學資格；</w:t>
      </w:r>
    </w:p>
    <w:p>
      <w:pPr>
        <w:pStyle w:val="BodyText"/>
        <w:ind w:left="18" w:right="88" w:firstLine="594"/>
        <w:spacing w:before="20" w:line="310" w:lineRule="auto"/>
        <w:rPr/>
      </w:pPr>
      <w:r>
        <w:rPr>
          <w:rFonts w:ascii="FangSong" w:hAnsi="FangSong" w:eastAsia="FangSong" w:cs="FangSong"/>
          <w:spacing w:val="-5"/>
        </w:rPr>
        <w:t>3.</w:t>
      </w:r>
      <w:r>
        <w:rPr>
          <w:spacing w:val="-5"/>
        </w:rPr>
        <w:t>新生入學報到時需攜帶附件中掃描件的原件供查驗。新生入校</w:t>
      </w:r>
      <w:r>
        <w:rPr>
          <w:spacing w:val="12"/>
        </w:rPr>
        <w:t xml:space="preserve"> </w:t>
      </w:r>
      <w:r>
        <w:rPr>
          <w:spacing w:val="-3"/>
        </w:rPr>
        <w:t>後，我校將核查其入學資格。凡不符合“廣州大學依據臺</w:t>
      </w:r>
      <w:r>
        <w:rPr>
          <w:spacing w:val="-4"/>
        </w:rPr>
        <w:t>灣地區大學</w:t>
      </w:r>
      <w:r>
        <w:rPr/>
        <w:t xml:space="preserve"> </w:t>
      </w:r>
      <w:r>
        <w:rPr>
          <w:spacing w:val="-3"/>
        </w:rPr>
        <w:t>入學考試學科能力測試成績招收免試生”錄取條件</w:t>
      </w:r>
      <w:r>
        <w:rPr>
          <w:spacing w:val="-4"/>
        </w:rPr>
        <w:t>或弄虛作假者，我</w:t>
      </w:r>
      <w:r>
        <w:rPr/>
        <w:t xml:space="preserve"> </w:t>
      </w:r>
      <w:r>
        <w:rPr>
          <w:spacing w:val="1"/>
        </w:rPr>
        <w:t>校將取消其入學資格；</w:t>
      </w:r>
    </w:p>
    <w:p>
      <w:pPr>
        <w:pStyle w:val="BodyText"/>
        <w:ind w:left="23" w:firstLine="578"/>
        <w:spacing w:before="18" w:line="302" w:lineRule="auto"/>
        <w:rPr/>
      </w:pPr>
      <w:r>
        <w:rPr>
          <w:rFonts w:ascii="FangSong" w:hAnsi="FangSong" w:eastAsia="FangSong" w:cs="FangSong"/>
          <w:spacing w:val="-10"/>
        </w:rPr>
        <w:t>4.</w:t>
      </w:r>
      <w:r>
        <w:rPr>
          <w:spacing w:val="-10"/>
        </w:rPr>
        <w:t>新生入校後，由學校進行身體檢查，對不</w:t>
      </w:r>
      <w:r>
        <w:rPr>
          <w:spacing w:val="-11"/>
        </w:rPr>
        <w:t>符合入學體檢要求者，</w:t>
      </w:r>
      <w:r>
        <w:rPr/>
        <w:t xml:space="preserve"> </w:t>
      </w:r>
      <w:r>
        <w:rPr/>
        <w:t>取消入學資格；僅專業受限者，可以商轉其它</w:t>
      </w:r>
      <w:r>
        <w:rPr>
          <w:spacing w:val="-1"/>
        </w:rPr>
        <w:t>專業 。</w:t>
      </w:r>
    </w:p>
    <w:p>
      <w:pPr>
        <w:ind w:left="677"/>
        <w:spacing w:line="220" w:lineRule="auto"/>
        <w:outlineLvl w:val="0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b/>
          <w:bCs/>
          <w:spacing w:val="-9"/>
        </w:rPr>
        <w:t>六、</w:t>
      </w:r>
      <w:r>
        <w:rPr>
          <w:rFonts w:ascii="SimHei" w:hAnsi="SimHei" w:eastAsia="SimHei" w:cs="SimHei"/>
          <w:sz w:val="28"/>
          <w:szCs w:val="28"/>
          <w:spacing w:val="29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  <w:spacing w:val="-9"/>
        </w:rPr>
        <w:t>收費</w:t>
      </w:r>
    </w:p>
    <w:p>
      <w:pPr>
        <w:pStyle w:val="BodyText"/>
        <w:ind w:left="23" w:right="88" w:firstLine="561"/>
        <w:spacing w:before="335" w:line="305" w:lineRule="auto"/>
        <w:jc w:val="both"/>
        <w:rPr/>
      </w:pPr>
      <w:r>
        <w:rPr>
          <w:spacing w:val="-4"/>
        </w:rPr>
        <w:t>各普通類專業學費標準為人民幣 </w:t>
      </w:r>
      <w:r>
        <w:rPr>
          <w:rFonts w:ascii="FangSong" w:hAnsi="FangSong" w:eastAsia="FangSong" w:cs="FangSong"/>
          <w:spacing w:val="-4"/>
        </w:rPr>
        <w:t>6060-6850</w:t>
      </w:r>
      <w:r>
        <w:rPr>
          <w:rFonts w:ascii="FangSong" w:hAnsi="FangSong" w:eastAsia="FangSong" w:cs="FangSong"/>
          <w:spacing w:val="-53"/>
        </w:rPr>
        <w:t xml:space="preserve"> </w:t>
      </w:r>
      <w:r>
        <w:rPr>
          <w:spacing w:val="-4"/>
        </w:rPr>
        <w:t>元不等，住宿費約為</w:t>
      </w:r>
      <w:r>
        <w:rPr/>
        <w:t xml:space="preserve"> </w:t>
      </w:r>
      <w:r>
        <w:rPr>
          <w:spacing w:val="-2"/>
        </w:rPr>
        <w:t>人民幣</w:t>
      </w:r>
      <w:r>
        <w:rPr>
          <w:spacing w:val="53"/>
        </w:rPr>
        <w:t xml:space="preserve"> </w:t>
      </w:r>
      <w:r>
        <w:rPr>
          <w:rFonts w:ascii="FangSong" w:hAnsi="FangSong" w:eastAsia="FangSong" w:cs="FangSong"/>
          <w:spacing w:val="-2"/>
        </w:rPr>
        <w:t>1000</w:t>
      </w:r>
      <w:r>
        <w:rPr>
          <w:rFonts w:ascii="FangSong" w:hAnsi="FangSong" w:eastAsia="FangSong" w:cs="FangSong"/>
          <w:spacing w:val="-36"/>
        </w:rPr>
        <w:t xml:space="preserve"> </w:t>
      </w:r>
      <w:r>
        <w:rPr>
          <w:spacing w:val="-2"/>
        </w:rPr>
        <w:t>元，需繳納的其他學雜費標準與祖國大陸同專業學生標</w:t>
      </w:r>
      <w:r>
        <w:rPr/>
        <w:t xml:space="preserve"> </w:t>
      </w:r>
      <w:r>
        <w:rPr>
          <w:spacing w:val="6"/>
        </w:rPr>
        <w:t>準一致。</w:t>
      </w:r>
    </w:p>
    <w:p>
      <w:pPr>
        <w:ind w:left="667"/>
        <w:spacing w:before="1" w:line="220" w:lineRule="auto"/>
        <w:outlineLvl w:val="0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b/>
          <w:bCs/>
          <w:spacing w:val="-7"/>
        </w:rPr>
        <w:t>七、</w:t>
      </w:r>
      <w:r>
        <w:rPr>
          <w:rFonts w:ascii="SimHei" w:hAnsi="SimHei" w:eastAsia="SimHei" w:cs="SimHei"/>
          <w:sz w:val="28"/>
          <w:szCs w:val="28"/>
          <w:spacing w:val="32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  <w:spacing w:val="-7"/>
        </w:rPr>
        <w:t>管理</w:t>
      </w:r>
    </w:p>
    <w:p>
      <w:pPr>
        <w:pStyle w:val="BodyText"/>
        <w:ind w:left="18" w:right="88" w:firstLine="566"/>
        <w:spacing w:before="320" w:line="288" w:lineRule="auto"/>
        <w:jc w:val="both"/>
        <w:rPr/>
      </w:pPr>
      <w:r>
        <w:rPr>
          <w:spacing w:val="6"/>
        </w:rPr>
        <w:t>廣州大學依據臺灣地區大學入學考試學科能力測試成績招收免</w:t>
      </w:r>
      <w:r>
        <w:rPr>
          <w:spacing w:val="14"/>
        </w:rPr>
        <w:t xml:space="preserve"> </w:t>
      </w:r>
      <w:r>
        <w:rPr>
          <w:spacing w:val="-3"/>
        </w:rPr>
        <w:t>試生的管理與祖國大陸學生基本相同，按教育部發</w:t>
      </w:r>
      <w:r>
        <w:rPr>
          <w:spacing w:val="-4"/>
        </w:rPr>
        <w:t>佈的《普通高等學</w:t>
      </w:r>
      <w:r>
        <w:rPr/>
        <w:t xml:space="preserve"> </w:t>
      </w:r>
      <w:r>
        <w:rPr>
          <w:spacing w:val="-3"/>
        </w:rPr>
        <w:t>校招收和培養香港特別行政區、澳門特別行政區及</w:t>
      </w:r>
      <w:r>
        <w:rPr>
          <w:spacing w:val="-4"/>
        </w:rPr>
        <w:t>臺灣地區學生的規</w:t>
      </w:r>
      <w:r>
        <w:rPr/>
        <w:t xml:space="preserve"> </w:t>
      </w:r>
      <w:r>
        <w:rPr>
          <w:spacing w:val="-5"/>
        </w:rPr>
        <w:t>定》（教港澳臺〔</w:t>
      </w:r>
      <w:r>
        <w:rPr>
          <w:rFonts w:ascii="FangSong" w:hAnsi="FangSong" w:eastAsia="FangSong" w:cs="FangSong"/>
          <w:spacing w:val="-5"/>
        </w:rPr>
        <w:t>2016</w:t>
      </w:r>
      <w:r>
        <w:rPr>
          <w:spacing w:val="-5"/>
        </w:rPr>
        <w:t>〕</w:t>
      </w:r>
      <w:r>
        <w:rPr>
          <w:rFonts w:ascii="FangSong" w:hAnsi="FangSong" w:eastAsia="FangSong" w:cs="FangSong"/>
          <w:spacing w:val="-5"/>
        </w:rPr>
        <w:t>96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-5"/>
        </w:rPr>
        <w:t>號）進行管理，可</w:t>
      </w:r>
      <w:r>
        <w:rPr>
          <w:spacing w:val="-6"/>
        </w:rPr>
        <w:t>參評學校獎學金和教育</w:t>
      </w:r>
      <w:r>
        <w:rPr/>
        <w:t xml:space="preserve"> </w:t>
      </w:r>
      <w:r>
        <w:rPr>
          <w:spacing w:val="2"/>
        </w:rPr>
        <w:t>部設立的港澳臺學生獎學金。</w:t>
      </w:r>
    </w:p>
    <w:p>
      <w:pPr>
        <w:spacing w:line="288" w:lineRule="auto"/>
        <w:sectPr>
          <w:footerReference w:type="default" r:id="rId10"/>
          <w:pgSz w:w="11907" w:h="16839"/>
          <w:pgMar w:top="1219" w:right="1706" w:bottom="2018" w:left="1785" w:header="0" w:footer="1769" w:gutter="0"/>
        </w:sectPr>
        <w:rPr/>
      </w:pPr>
    </w:p>
    <w:p>
      <w:pPr>
        <w:pStyle w:val="BodyText"/>
        <w:ind w:left="585"/>
        <w:spacing w:before="55" w:line="185" w:lineRule="auto"/>
        <w:rPr/>
      </w:pPr>
      <w:r>
        <w:rPr>
          <w:spacing w:val="1"/>
        </w:rPr>
        <w:t>若教育部及聯招辦的相關規定有變化，以新規定為准。</w:t>
      </w:r>
    </w:p>
    <w:p>
      <w:pPr>
        <w:ind w:left="668"/>
        <w:spacing w:before="226" w:line="219" w:lineRule="auto"/>
        <w:outlineLvl w:val="0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b/>
          <w:bCs/>
          <w:spacing w:val="-6"/>
        </w:rPr>
        <w:t>八、</w:t>
      </w:r>
      <w:r>
        <w:rPr>
          <w:rFonts w:ascii="SimHei" w:hAnsi="SimHei" w:eastAsia="SimHei" w:cs="SimHei"/>
          <w:sz w:val="28"/>
          <w:szCs w:val="28"/>
          <w:spacing w:val="31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  <w:spacing w:val="-6"/>
        </w:rPr>
        <w:t>聯繫方式</w:t>
      </w:r>
    </w:p>
    <w:p>
      <w:pPr>
        <w:pStyle w:val="BodyText"/>
        <w:ind w:left="573"/>
        <w:spacing w:before="315" w:line="185" w:lineRule="auto"/>
        <w:rPr/>
      </w:pPr>
      <w:r>
        <w:rPr>
          <w:spacing w:val="-1"/>
        </w:rPr>
        <w:t>廣州大學招生辦公室</w:t>
      </w:r>
    </w:p>
    <w:p>
      <w:pPr>
        <w:pStyle w:val="BodyText"/>
        <w:ind w:left="18" w:right="482" w:firstLine="554"/>
        <w:spacing w:before="258" w:line="239" w:lineRule="auto"/>
        <w:rPr>
          <w:rFonts w:ascii="FangSong" w:hAnsi="FangSong" w:eastAsia="FangSong" w:cs="FangSong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3740175</wp:posOffset>
            </wp:positionH>
            <wp:positionV relativeFrom="paragraph">
              <wp:posOffset>776850</wp:posOffset>
            </wp:positionV>
            <wp:extent cx="1543050" cy="154305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>辦公地點</w:t>
      </w:r>
      <w:r>
        <w:rPr>
          <w:spacing w:val="-20"/>
        </w:rPr>
        <w:t xml:space="preserve"> </w:t>
      </w:r>
      <w:r>
        <w:rPr>
          <w:spacing w:val="-3"/>
        </w:rPr>
        <w:t>：廣東省廣州市番禺區廣州大學城外環西路 </w:t>
      </w:r>
      <w:r>
        <w:rPr>
          <w:rFonts w:ascii="FangSong" w:hAnsi="FangSong" w:eastAsia="FangSong" w:cs="FangSong"/>
          <w:spacing w:val="-4"/>
        </w:rPr>
        <w:t>230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-4"/>
        </w:rPr>
        <w:t>號</w:t>
      </w:r>
      <w:r>
        <w:rPr/>
        <w:t xml:space="preserve"> </w:t>
      </w:r>
      <w:r>
        <w:rPr>
          <w:spacing w:val="-1"/>
        </w:rPr>
        <w:t>行政東樓後座 </w:t>
      </w:r>
      <w:r>
        <w:rPr>
          <w:rFonts w:ascii="FangSong" w:hAnsi="FangSong" w:eastAsia="FangSong" w:cs="FangSong"/>
          <w:spacing w:val="-1"/>
        </w:rPr>
        <w:t>224</w:t>
      </w:r>
    </w:p>
    <w:p>
      <w:pPr>
        <w:pStyle w:val="BodyText"/>
        <w:ind w:left="573"/>
        <w:spacing w:before="153" w:line="181" w:lineRule="auto"/>
        <w:rPr>
          <w:rFonts w:ascii="FangSong" w:hAnsi="FangSong" w:eastAsia="FangSong" w:cs="FangSong"/>
        </w:rPr>
      </w:pPr>
      <w:r>
        <w:rPr>
          <w:spacing w:val="2"/>
        </w:rPr>
        <w:t>聯繫電話</w:t>
      </w:r>
      <w:r>
        <w:rPr>
          <w:spacing w:val="-14"/>
        </w:rPr>
        <w:t xml:space="preserve"> </w:t>
      </w:r>
      <w:r>
        <w:rPr>
          <w:spacing w:val="-55"/>
        </w:rPr>
        <w:t>：（</w:t>
      </w:r>
      <w:r>
        <w:rPr>
          <w:rFonts w:ascii="FangSong" w:hAnsi="FangSong" w:eastAsia="FangSong" w:cs="FangSong"/>
          <w:spacing w:val="2"/>
        </w:rPr>
        <w:t>+86</w:t>
      </w:r>
      <w:r>
        <w:rPr>
          <w:spacing w:val="2"/>
        </w:rPr>
        <w:t>）</w:t>
      </w:r>
      <w:r>
        <w:rPr>
          <w:rFonts w:ascii="FangSong" w:hAnsi="FangSong" w:eastAsia="FangSong" w:cs="FangSong"/>
          <w:spacing w:val="2"/>
        </w:rPr>
        <w:t>20-39366232</w:t>
      </w:r>
    </w:p>
    <w:p>
      <w:pPr>
        <w:pStyle w:val="BodyText"/>
        <w:ind w:left="577"/>
        <w:spacing w:before="108" w:line="315" w:lineRule="auto"/>
        <w:rPr>
          <w:rFonts w:ascii="FangSong" w:hAnsi="FangSong" w:eastAsia="FangSong" w:cs="FangSong"/>
        </w:rPr>
      </w:pPr>
      <w:r>
        <w:rPr>
          <w:spacing w:val="-1"/>
        </w:rPr>
        <w:t>電子郵箱：</w:t>
      </w:r>
      <w:hyperlink w:history="true" r:id="rId13">
        <w:r>
          <w:rPr>
            <w:rFonts w:ascii="FangSong" w:hAnsi="FangSong" w:eastAsia="FangSong" w:cs="FangSong"/>
            <w:u w:val="single" w:color="auto"/>
            <w:color w:val="0563C1"/>
            <w:spacing w:val="-1"/>
          </w:rPr>
          <w:t>zhaosb@gzhu.edu.cn</w:t>
        </w:r>
      </w:hyperlink>
    </w:p>
    <w:p>
      <w:pPr>
        <w:pStyle w:val="BodyText"/>
        <w:ind w:left="577"/>
        <w:spacing w:before="1" w:line="358" w:lineRule="auto"/>
        <w:rPr>
          <w:rFonts w:ascii="FangSong" w:hAnsi="FangSong" w:eastAsia="FangSong" w:cs="FangSong"/>
        </w:rPr>
      </w:pPr>
      <w:r>
        <w:rPr>
          <w:spacing w:val="-1"/>
        </w:rPr>
        <w:t>網</w:t>
      </w:r>
      <w:r>
        <w:rPr>
          <w:spacing w:val="74"/>
        </w:rPr>
        <w:t xml:space="preserve"> </w:t>
      </w:r>
      <w:r>
        <w:rPr>
          <w:spacing w:val="-1"/>
        </w:rPr>
        <w:t>址：</w:t>
      </w:r>
      <w:hyperlink w:history="true" r:id="rId9">
        <w:r>
          <w:rPr>
            <w:rFonts w:ascii="FangSong" w:hAnsi="FangSong" w:eastAsia="FangSong" w:cs="FangSong"/>
            <w:u w:val="single" w:color="auto"/>
            <w:color w:val="0563C1"/>
            <w:spacing w:val="-1"/>
          </w:rPr>
          <w:t>http://zsjy.gzhu.edu.cn</w:t>
        </w:r>
      </w:hyperlink>
    </w:p>
    <w:p>
      <w:pPr>
        <w:pStyle w:val="BodyText"/>
        <w:ind w:left="573"/>
        <w:spacing w:before="71" w:line="185" w:lineRule="auto"/>
        <w:rPr/>
      </w:pPr>
      <w:r>
        <w:rPr>
          <w:spacing w:val="-7"/>
        </w:rPr>
        <w:t>微信公眾號</w:t>
      </w:r>
      <w:r>
        <w:rPr>
          <w:spacing w:val="-17"/>
        </w:rPr>
        <w:t xml:space="preserve"> </w:t>
      </w:r>
      <w:r>
        <w:rPr>
          <w:spacing w:val="-7"/>
        </w:rPr>
        <w:t>：廣大招生</w:t>
      </w:r>
    </w:p>
    <w:p>
      <w:pPr>
        <w:ind w:left="675"/>
        <w:spacing w:before="245" w:line="220" w:lineRule="auto"/>
        <w:outlineLvl w:val="0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b/>
          <w:bCs/>
          <w:spacing w:val="-9"/>
        </w:rPr>
        <w:t>九、</w:t>
      </w:r>
      <w:r>
        <w:rPr>
          <w:rFonts w:ascii="SimHei" w:hAnsi="SimHei" w:eastAsia="SimHei" w:cs="SimHei"/>
          <w:sz w:val="28"/>
          <w:szCs w:val="28"/>
          <w:spacing w:val="33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  <w:spacing w:val="-9"/>
        </w:rPr>
        <w:t>其他</w:t>
      </w:r>
    </w:p>
    <w:p>
      <w:pPr>
        <w:pStyle w:val="BodyText"/>
        <w:ind w:left="31" w:right="7" w:firstLine="553"/>
        <w:spacing w:before="326" w:line="310" w:lineRule="auto"/>
        <w:rPr/>
      </w:pPr>
      <w:r>
        <w:rPr>
          <w:spacing w:val="-4"/>
        </w:rPr>
        <w:t>若報名、錄取及徵集志願等時間節點有變動，以聯招辦最終公佈</w:t>
      </w:r>
      <w:r>
        <w:rPr>
          <w:spacing w:val="13"/>
        </w:rPr>
        <w:t xml:space="preserve"> </w:t>
      </w:r>
      <w:r>
        <w:rPr/>
        <w:t>的時間為准。請關注我校相關消息推送。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6313" w:right="9" w:hanging="1347"/>
        <w:spacing w:before="120" w:line="314" w:lineRule="auto"/>
        <w:rPr/>
      </w:pPr>
      <w:r>
        <w:rPr>
          <w:spacing w:val="-1"/>
        </w:rPr>
        <w:t>廣州大學招生委員會辦公室</w:t>
      </w:r>
      <w:r>
        <w:rPr>
          <w:spacing w:val="9"/>
        </w:rPr>
        <w:t xml:space="preserve"> </w:t>
      </w:r>
      <w:r>
        <w:rPr>
          <w:rFonts w:ascii="FangSong" w:hAnsi="FangSong" w:eastAsia="FangSong" w:cs="FangSong"/>
          <w:spacing w:val="-17"/>
        </w:rPr>
        <w:t>2024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-17"/>
        </w:rPr>
        <w:t>年</w:t>
      </w:r>
      <w:r>
        <w:rPr>
          <w:spacing w:val="10"/>
        </w:rPr>
        <w:t xml:space="preserve"> </w:t>
      </w:r>
      <w:r>
        <w:rPr>
          <w:rFonts w:ascii="FangSong" w:hAnsi="FangSong" w:eastAsia="FangSong" w:cs="FangSong"/>
          <w:spacing w:val="-17"/>
        </w:rPr>
        <w:t>2</w:t>
      </w:r>
      <w:r>
        <w:rPr>
          <w:rFonts w:ascii="FangSong" w:hAnsi="FangSong" w:eastAsia="FangSong" w:cs="FangSong"/>
          <w:spacing w:val="-48"/>
        </w:rPr>
        <w:t xml:space="preserve"> </w:t>
      </w:r>
      <w:r>
        <w:rPr>
          <w:spacing w:val="-17"/>
        </w:rPr>
        <w:t>月</w:t>
      </w:r>
      <w:r>
        <w:rPr>
          <w:spacing w:val="13"/>
        </w:rPr>
        <w:t xml:space="preserve"> </w:t>
      </w:r>
      <w:r>
        <w:rPr>
          <w:rFonts w:ascii="FangSong" w:hAnsi="FangSong" w:eastAsia="FangSong" w:cs="FangSong"/>
          <w:spacing w:val="-17"/>
        </w:rPr>
        <w:t>1</w:t>
      </w:r>
      <w:r>
        <w:rPr>
          <w:rFonts w:ascii="FangSong" w:hAnsi="FangSong" w:eastAsia="FangSong" w:cs="FangSong"/>
          <w:spacing w:val="-17"/>
        </w:rPr>
        <w:t xml:space="preserve"> </w:t>
      </w:r>
      <w:r>
        <w:rPr>
          <w:spacing w:val="-17"/>
        </w:rPr>
        <w:t>日</w:t>
      </w:r>
    </w:p>
    <w:sectPr>
      <w:footerReference w:type="default" r:id="rId11"/>
      <w:pgSz w:w="11907" w:h="16839"/>
      <w:pgMar w:top="1247" w:right="1785" w:bottom="2018" w:left="1785" w:header="0" w:footer="176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2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1</w:t>
    </w:r>
    <w:r>
      <w:rPr>
        <w:rFonts w:ascii="DengXian" w:hAnsi="DengXian" w:eastAsia="DengXian" w:cs="DengXian"/>
        <w:sz w:val="18"/>
        <w:szCs w:val="18"/>
        <w:b/>
        <w:bCs/>
        <w:spacing w:val="45"/>
        <w:w w:val="101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 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9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22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3"/>
      </w:rPr>
      <w:t>2</w:t>
    </w:r>
    <w:r>
      <w:rPr>
        <w:rFonts w:ascii="DengXian" w:hAnsi="DengXian" w:eastAsia="DengXian" w:cs="DengXian"/>
        <w:sz w:val="18"/>
        <w:szCs w:val="18"/>
        <w:b/>
        <w:bCs/>
        <w:spacing w:val="43"/>
      </w:rPr>
      <w:t xml:space="preserve"> </w:t>
    </w:r>
    <w:r>
      <w:rPr>
        <w:rFonts w:ascii="DengXian" w:hAnsi="DengXian" w:eastAsia="DengXian" w:cs="DengXian"/>
        <w:sz w:val="18"/>
        <w:szCs w:val="18"/>
        <w:spacing w:val="-3"/>
      </w:rPr>
      <w:t>/</w:t>
    </w:r>
    <w:r>
      <w:rPr>
        <w:rFonts w:ascii="DengXian" w:hAnsi="DengXian" w:eastAsia="DengXian" w:cs="DengXian"/>
        <w:sz w:val="18"/>
        <w:szCs w:val="18"/>
        <w:spacing w:val="45"/>
        <w:w w:val="101"/>
      </w:rPr>
      <w:t xml:space="preserve"> </w:t>
    </w:r>
    <w:r>
      <w:rPr>
        <w:rFonts w:ascii="DengXian" w:hAnsi="DengXian" w:eastAsia="DengXian" w:cs="DengXian"/>
        <w:sz w:val="18"/>
        <w:szCs w:val="18"/>
        <w:b/>
        <w:bCs/>
        <w:spacing w:val="-3"/>
      </w:rPr>
      <w:t>9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20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3"/>
      </w:rPr>
      <w:t>3</w:t>
    </w:r>
    <w:r>
      <w:rPr>
        <w:rFonts w:ascii="DengXian" w:hAnsi="DengXian" w:eastAsia="DengXian" w:cs="DengXian"/>
        <w:sz w:val="18"/>
        <w:szCs w:val="18"/>
        <w:b/>
        <w:bCs/>
        <w:spacing w:val="44"/>
      </w:rPr>
      <w:t xml:space="preserve"> </w:t>
    </w:r>
    <w:r>
      <w:rPr>
        <w:rFonts w:ascii="DengXian" w:hAnsi="DengXian" w:eastAsia="DengXian" w:cs="DengXian"/>
        <w:sz w:val="18"/>
        <w:szCs w:val="18"/>
        <w:spacing w:val="-3"/>
      </w:rPr>
      <w:t>/</w:t>
    </w:r>
    <w:r>
      <w:rPr>
        <w:rFonts w:ascii="DengXian" w:hAnsi="DengXian" w:eastAsia="DengXian" w:cs="DengXian"/>
        <w:sz w:val="18"/>
        <w:szCs w:val="18"/>
        <w:spacing w:val="46"/>
      </w:rPr>
      <w:t xml:space="preserve"> </w:t>
    </w:r>
    <w:r>
      <w:rPr>
        <w:rFonts w:ascii="DengXian" w:hAnsi="DengXian" w:eastAsia="DengXian" w:cs="DengXian"/>
        <w:sz w:val="18"/>
        <w:szCs w:val="18"/>
        <w:b/>
        <w:bCs/>
        <w:spacing w:val="-3"/>
      </w:rPr>
      <w:t>9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18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2"/>
      </w:rPr>
      <w:t>4</w:t>
    </w:r>
    <w:r>
      <w:rPr>
        <w:rFonts w:ascii="DengXian" w:hAnsi="DengXian" w:eastAsia="DengXian" w:cs="DengXian"/>
        <w:sz w:val="18"/>
        <w:szCs w:val="18"/>
        <w:b/>
        <w:bCs/>
        <w:spacing w:val="44"/>
      </w:rPr>
      <w:t xml:space="preserve"> </w:t>
    </w:r>
    <w:r>
      <w:rPr>
        <w:rFonts w:ascii="DengXian" w:hAnsi="DengXian" w:eastAsia="DengXian" w:cs="DengXian"/>
        <w:sz w:val="18"/>
        <w:szCs w:val="18"/>
        <w:spacing w:val="-2"/>
      </w:rPr>
      <w:t>/</w:t>
    </w:r>
    <w:r>
      <w:rPr>
        <w:rFonts w:ascii="DengXian" w:hAnsi="DengXian" w:eastAsia="DengXian" w:cs="DengXian"/>
        <w:sz w:val="18"/>
        <w:szCs w:val="18"/>
        <w:spacing w:val="46"/>
      </w:rPr>
      <w:t xml:space="preserve"> </w:t>
    </w:r>
    <w:r>
      <w:rPr>
        <w:rFonts w:ascii="DengXian" w:hAnsi="DengXian" w:eastAsia="DengXian" w:cs="DengXian"/>
        <w:sz w:val="18"/>
        <w:szCs w:val="18"/>
        <w:b/>
        <w:bCs/>
        <w:spacing w:val="-2"/>
      </w:rPr>
      <w:t>9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22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3"/>
      </w:rPr>
      <w:t>5</w:t>
    </w:r>
    <w:r>
      <w:rPr>
        <w:rFonts w:ascii="DengXian" w:hAnsi="DengXian" w:eastAsia="DengXian" w:cs="DengXian"/>
        <w:sz w:val="18"/>
        <w:szCs w:val="18"/>
        <w:b/>
        <w:bCs/>
        <w:spacing w:val="43"/>
      </w:rPr>
      <w:t xml:space="preserve"> </w:t>
    </w:r>
    <w:r>
      <w:rPr>
        <w:rFonts w:ascii="DengXian" w:hAnsi="DengXian" w:eastAsia="DengXian" w:cs="DengXian"/>
        <w:sz w:val="18"/>
        <w:szCs w:val="18"/>
        <w:spacing w:val="-3"/>
      </w:rPr>
      <w:t>/</w:t>
    </w:r>
    <w:r>
      <w:rPr>
        <w:rFonts w:ascii="DengXian" w:hAnsi="DengXian" w:eastAsia="DengXian" w:cs="DengXian"/>
        <w:sz w:val="18"/>
        <w:szCs w:val="18"/>
        <w:spacing w:val="45"/>
        <w:w w:val="101"/>
      </w:rPr>
      <w:t xml:space="preserve"> </w:t>
    </w:r>
    <w:r>
      <w:rPr>
        <w:rFonts w:ascii="DengXian" w:hAnsi="DengXian" w:eastAsia="DengXian" w:cs="DengXian"/>
        <w:sz w:val="18"/>
        <w:szCs w:val="18"/>
        <w:b/>
        <w:bCs/>
        <w:spacing w:val="-3"/>
      </w:rPr>
      <w:t>9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7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6</w:t>
    </w:r>
    <w:r>
      <w:rPr>
        <w:rFonts w:ascii="DengXian" w:hAnsi="DengXian" w:eastAsia="DengXian" w:cs="DengXian"/>
        <w:sz w:val="18"/>
        <w:szCs w:val="18"/>
        <w:b/>
        <w:bCs/>
        <w:spacing w:val="45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</w:t>
    </w:r>
    <w:r>
      <w:rPr>
        <w:rFonts w:ascii="DengXian" w:hAnsi="DengXian" w:eastAsia="DengXian" w:cs="DengXian"/>
        <w:sz w:val="18"/>
        <w:szCs w:val="18"/>
        <w:spacing w:val="45"/>
        <w:w w:val="102"/>
      </w:rPr>
      <w:t xml:space="preserve">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9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8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3"/>
      </w:rPr>
      <w:t>7</w:t>
    </w:r>
    <w:r>
      <w:rPr>
        <w:rFonts w:ascii="DengXian" w:hAnsi="DengXian" w:eastAsia="DengXian" w:cs="DengXian"/>
        <w:sz w:val="18"/>
        <w:szCs w:val="18"/>
        <w:b/>
        <w:bCs/>
        <w:spacing w:val="44"/>
      </w:rPr>
      <w:t xml:space="preserve"> </w:t>
    </w:r>
    <w:r>
      <w:rPr>
        <w:rFonts w:ascii="DengXian" w:hAnsi="DengXian" w:eastAsia="DengXian" w:cs="DengXian"/>
        <w:sz w:val="18"/>
        <w:szCs w:val="18"/>
        <w:spacing w:val="-3"/>
      </w:rPr>
      <w:t>/  </w:t>
    </w:r>
    <w:r>
      <w:rPr>
        <w:rFonts w:ascii="DengXian" w:hAnsi="DengXian" w:eastAsia="DengXian" w:cs="DengXian"/>
        <w:sz w:val="18"/>
        <w:szCs w:val="18"/>
        <w:b/>
        <w:bCs/>
        <w:spacing w:val="-3"/>
      </w:rPr>
      <w:t>9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7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3"/>
      </w:rPr>
      <w:t>8</w:t>
    </w:r>
    <w:r>
      <w:rPr>
        <w:rFonts w:ascii="DengXian" w:hAnsi="DengXian" w:eastAsia="DengXian" w:cs="DengXian"/>
        <w:sz w:val="18"/>
        <w:szCs w:val="18"/>
        <w:b/>
        <w:bCs/>
        <w:spacing w:val="43"/>
      </w:rPr>
      <w:t xml:space="preserve"> </w:t>
    </w:r>
    <w:r>
      <w:rPr>
        <w:rFonts w:ascii="DengXian" w:hAnsi="DengXian" w:eastAsia="DengXian" w:cs="DengXian"/>
        <w:sz w:val="18"/>
        <w:szCs w:val="18"/>
        <w:spacing w:val="-3"/>
      </w:rPr>
      <w:t>/</w:t>
    </w:r>
    <w:r>
      <w:rPr>
        <w:rFonts w:ascii="DengXian" w:hAnsi="DengXian" w:eastAsia="DengXian" w:cs="DengXian"/>
        <w:sz w:val="18"/>
        <w:szCs w:val="18"/>
        <w:spacing w:val="45"/>
        <w:w w:val="101"/>
      </w:rPr>
      <w:t xml:space="preserve"> </w:t>
    </w:r>
    <w:r>
      <w:rPr>
        <w:rFonts w:ascii="DengXian" w:hAnsi="DengXian" w:eastAsia="DengXian" w:cs="DengXian"/>
        <w:sz w:val="18"/>
        <w:szCs w:val="18"/>
        <w:b/>
        <w:bCs/>
        <w:spacing w:val="-3"/>
      </w:rPr>
      <w:t>9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6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3"/>
      </w:rPr>
      <w:t>9</w:t>
    </w:r>
    <w:r>
      <w:rPr>
        <w:rFonts w:ascii="DengXian" w:hAnsi="DengXian" w:eastAsia="DengXian" w:cs="DengXian"/>
        <w:sz w:val="18"/>
        <w:szCs w:val="18"/>
        <w:b/>
        <w:bCs/>
        <w:spacing w:val="43"/>
      </w:rPr>
      <w:t xml:space="preserve"> </w:t>
    </w:r>
    <w:r>
      <w:rPr>
        <w:rFonts w:ascii="DengXian" w:hAnsi="DengXian" w:eastAsia="DengXian" w:cs="DengXian"/>
        <w:sz w:val="18"/>
        <w:szCs w:val="18"/>
        <w:spacing w:val="-3"/>
      </w:rPr>
      <w:t>/</w:t>
    </w:r>
    <w:r>
      <w:rPr>
        <w:rFonts w:ascii="DengXian" w:hAnsi="DengXian" w:eastAsia="DengXian" w:cs="DengXian"/>
        <w:sz w:val="18"/>
        <w:szCs w:val="18"/>
        <w:spacing w:val="46"/>
      </w:rPr>
      <w:t xml:space="preserve"> </w:t>
    </w:r>
    <w:r>
      <w:rPr>
        <w:rFonts w:ascii="DengXian" w:hAnsi="DengXian" w:eastAsia="DengXian" w:cs="DengXian"/>
        <w:sz w:val="18"/>
        <w:szCs w:val="18"/>
        <w:b/>
        <w:bCs/>
        <w:spacing w:val="-3"/>
      </w:rPr>
      <w:t>9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Microsoft YaHei" w:hAnsi="Microsoft YaHei" w:eastAsia="Microsoft YaHei" w:cs="Microsoft YaHei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Microsoft YaHei" w:hAnsi="Microsoft YaHei" w:eastAsia="Microsoft YaHei" w:cs="Microsoft YaHei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zsjy.gzhu.edu.cn/" TargetMode="External"/><Relationship Id="rId8" Type="http://schemas.openxmlformats.org/officeDocument/2006/relationships/footer" Target="footer7.xml"/><Relationship Id="rId7" Type="http://schemas.openxmlformats.org/officeDocument/2006/relationships/hyperlink" Target="https://www.gatzs.com.cn/z/tw/" TargetMode="Externa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6" Type="http://schemas.openxmlformats.org/officeDocument/2006/relationships/fontTable" Target="fontTable.xml"/><Relationship Id="rId15" Type="http://schemas.openxmlformats.org/officeDocument/2006/relationships/styles" Target="styles.xml"/><Relationship Id="rId14" Type="http://schemas.openxmlformats.org/officeDocument/2006/relationships/settings" Target="settings.xml"/><Relationship Id="rId13" Type="http://schemas.openxmlformats.org/officeDocument/2006/relationships/hyperlink" Target="mailto:zhaosb@gzhu.edu.cn" TargetMode="External"/><Relationship Id="rId12" Type="http://schemas.openxmlformats.org/officeDocument/2006/relationships/image" Target="media/image1.jpeg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2021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2024-02-03T11:36:56Z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2025-01-06T17:03:31</vt:filetime>
  </property>
</Properties>
</file>