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755"/>
        <w:spacing w:before="115" w:line="188" w:lineRule="auto"/>
        <w:outlineLvl w:val="0"/>
        <w:rPr>
          <w:sz w:val="43"/>
          <w:szCs w:val="43"/>
        </w:rPr>
      </w:pPr>
      <w:r>
        <w:rPr>
          <w:sz w:val="43"/>
          <w:szCs w:val="43"/>
          <w:b/>
          <w:bCs/>
          <w:spacing w:val="18"/>
        </w:rPr>
        <w:t>廣州大學 </w:t>
      </w:r>
      <w:r>
        <w:rPr>
          <w:rFonts w:ascii="SimHei" w:hAnsi="SimHei" w:eastAsia="SimHei" w:cs="SimHei"/>
          <w:sz w:val="43"/>
          <w:szCs w:val="43"/>
          <w:b/>
          <w:bCs/>
          <w:spacing w:val="18"/>
        </w:rPr>
        <w:t>2024</w:t>
      </w:r>
      <w:r>
        <w:rPr>
          <w:rFonts w:ascii="SimHei" w:hAnsi="SimHei" w:eastAsia="SimHei" w:cs="SimHei"/>
          <w:sz w:val="43"/>
          <w:szCs w:val="43"/>
          <w:spacing w:val="-96"/>
        </w:rPr>
        <w:t xml:space="preserve"> </w:t>
      </w:r>
      <w:r>
        <w:rPr>
          <w:sz w:val="43"/>
          <w:szCs w:val="43"/>
          <w:b/>
          <w:bCs/>
          <w:spacing w:val="18"/>
        </w:rPr>
        <w:t>年澳門“四校聯考”</w:t>
      </w:r>
    </w:p>
    <w:p>
      <w:pPr>
        <w:pStyle w:val="BodyText"/>
        <w:ind w:left="3299"/>
        <w:spacing w:before="32" w:line="188" w:lineRule="auto"/>
        <w:outlineLvl w:val="0"/>
        <w:rPr>
          <w:sz w:val="43"/>
          <w:szCs w:val="43"/>
        </w:rPr>
      </w:pPr>
      <w:r>
        <w:rPr>
          <w:sz w:val="43"/>
          <w:szCs w:val="43"/>
          <w:b/>
          <w:bCs/>
          <w:spacing w:val="6"/>
        </w:rPr>
        <w:t>招生簡章</w:t>
      </w:r>
    </w:p>
    <w:p>
      <w:pPr>
        <w:pStyle w:val="BodyText"/>
        <w:ind w:left="23" w:right="302" w:firstLine="554"/>
        <w:spacing w:before="124" w:line="311" w:lineRule="auto"/>
        <w:rPr/>
      </w:pPr>
      <w:r>
        <w:rPr>
          <w:spacing w:val="-4"/>
        </w:rPr>
        <w:t>根據教育部招收澳門“四校聯考”學生的有關規定，制定該招生</w:t>
      </w:r>
      <w:r>
        <w:rPr>
          <w:spacing w:val="15"/>
        </w:rPr>
        <w:t xml:space="preserve"> </w:t>
      </w:r>
      <w:r>
        <w:rPr>
          <w:spacing w:val="7"/>
        </w:rPr>
        <w:t>簡章。</w:t>
      </w:r>
    </w:p>
    <w:p>
      <w:pPr>
        <w:pStyle w:val="BodyText"/>
        <w:ind w:left="23"/>
        <w:spacing w:before="1" w:line="185" w:lineRule="auto"/>
        <w:outlineLvl w:val="1"/>
        <w:rPr/>
      </w:pPr>
      <w:r>
        <w:rPr>
          <w:b/>
          <w:bCs/>
          <w:spacing w:val="-9"/>
          <w:w w:val="98"/>
        </w:rPr>
        <w:t>一</w:t>
      </w:r>
      <w:r>
        <w:rPr>
          <w:b/>
          <w:bCs/>
          <w:spacing w:val="14"/>
        </w:rPr>
        <w:t xml:space="preserve"> </w:t>
      </w:r>
      <w:r>
        <w:rPr>
          <w:b/>
          <w:bCs/>
          <w:spacing w:val="-9"/>
          <w:w w:val="98"/>
        </w:rPr>
        <w:t>、學校簡介</w:t>
      </w:r>
    </w:p>
    <w:p>
      <w:pPr>
        <w:pStyle w:val="BodyText"/>
        <w:ind w:left="23" w:firstLine="554"/>
        <w:spacing w:before="254" w:line="311" w:lineRule="auto"/>
        <w:rPr/>
      </w:pPr>
      <w:r>
        <w:rPr>
          <w:spacing w:val="-4"/>
        </w:rPr>
        <w:t>廣州大學是廣東省高水平大學重點建設高校、廣州市高水平大學</w:t>
      </w:r>
      <w:r>
        <w:rPr>
          <w:spacing w:val="3"/>
        </w:rPr>
        <w:t xml:space="preserve">    </w:t>
      </w:r>
      <w:r>
        <w:rPr>
          <w:spacing w:val="-4"/>
        </w:rPr>
        <w:t>建設高校。學校於 </w:t>
      </w:r>
      <w:r>
        <w:rPr>
          <w:rFonts w:ascii="FangSong" w:hAnsi="FangSong" w:eastAsia="FangSong" w:cs="FangSong"/>
          <w:spacing w:val="-4"/>
        </w:rPr>
        <w:t>2000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4"/>
        </w:rPr>
        <w:t>年合併組建，有著 </w:t>
      </w:r>
      <w:r>
        <w:rPr>
          <w:rFonts w:ascii="FangSong" w:hAnsi="FangSong" w:eastAsia="FangSong" w:cs="FangSong"/>
          <w:spacing w:val="-4"/>
        </w:rPr>
        <w:t>90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-4"/>
        </w:rPr>
        <w:t>多年的辦</w:t>
      </w:r>
      <w:r>
        <w:rPr>
          <w:spacing w:val="-5"/>
        </w:rPr>
        <w:t>學傳統。學校</w:t>
      </w:r>
      <w:r>
        <w:rPr/>
        <w:t xml:space="preserve">    </w:t>
      </w:r>
      <w:r>
        <w:rPr>
          <w:spacing w:val="-3"/>
        </w:rPr>
        <w:t>緊緊抓住國家“雙一流”建設、廣東省和廣州市高水平大學建設機遇，</w:t>
      </w:r>
      <w:r>
        <w:rPr>
          <w:spacing w:val="13"/>
        </w:rPr>
        <w:t xml:space="preserve"> </w:t>
      </w:r>
      <w:r>
        <w:rPr>
          <w:spacing w:val="-2"/>
        </w:rPr>
        <w:t>聚焦新工科、新文科、新師範建設 ，積極</w:t>
      </w:r>
      <w:r>
        <w:rPr>
          <w:spacing w:val="-3"/>
        </w:rPr>
        <w:t>探索新醫科發展。</w:t>
      </w:r>
    </w:p>
    <w:p>
      <w:pPr>
        <w:pStyle w:val="BodyText"/>
        <w:ind w:left="18" w:right="271" w:firstLine="559"/>
        <w:spacing w:before="3" w:line="312" w:lineRule="auto"/>
        <w:rPr/>
      </w:pPr>
      <w:r>
        <w:rPr>
          <w:spacing w:val="-7"/>
        </w:rPr>
        <w:t>學校現有大學城、桂花崗、黃埔研究院</w:t>
      </w:r>
      <w:r>
        <w:rPr>
          <w:rFonts w:ascii="FangSong" w:hAnsi="FangSong" w:eastAsia="FangSong" w:cs="FangSong"/>
          <w:spacing w:val="-7"/>
        </w:rPr>
        <w:t>/</w:t>
      </w:r>
      <w:r>
        <w:rPr>
          <w:spacing w:val="-7"/>
        </w:rPr>
        <w:t>研究生院“一校</w:t>
      </w:r>
      <w:r>
        <w:rPr>
          <w:spacing w:val="-8"/>
        </w:rPr>
        <w:t>三園”。</w:t>
      </w:r>
      <w:r>
        <w:rPr/>
        <w:t xml:space="preserve"> </w:t>
      </w:r>
      <w:r>
        <w:rPr>
          <w:spacing w:val="-6"/>
        </w:rPr>
        <w:t>學校學科門類齊全、綜合性強 ，設有</w:t>
      </w:r>
      <w:r>
        <w:rPr>
          <w:spacing w:val="31"/>
        </w:rPr>
        <w:t xml:space="preserve"> </w:t>
      </w:r>
      <w:r>
        <w:rPr>
          <w:rFonts w:ascii="FangSong" w:hAnsi="FangSong" w:eastAsia="FangSong" w:cs="FangSong"/>
          <w:spacing w:val="-6"/>
        </w:rPr>
        <w:t>25</w:t>
      </w:r>
      <w:r>
        <w:rPr>
          <w:rFonts w:ascii="FangSong" w:hAnsi="FangSong" w:eastAsia="FangSong" w:cs="FangSong"/>
          <w:spacing w:val="-41"/>
        </w:rPr>
        <w:t xml:space="preserve"> </w:t>
      </w:r>
      <w:r>
        <w:rPr>
          <w:spacing w:val="-6"/>
        </w:rPr>
        <w:t>個專業學院，涵蓋哲</w:t>
      </w:r>
      <w:r>
        <w:rPr>
          <w:spacing w:val="-7"/>
        </w:rPr>
        <w:t>學 、經</w:t>
      </w:r>
      <w:r>
        <w:rPr/>
        <w:t xml:space="preserve"> </w:t>
      </w:r>
      <w:r>
        <w:rPr>
          <w:spacing w:val="-14"/>
        </w:rPr>
        <w:t>濟學、法學、教育學、文學、歷史學、理學、工學、管理學、藝術學 、</w:t>
      </w:r>
      <w:r>
        <w:rPr>
          <w:spacing w:val="18"/>
        </w:rPr>
        <w:t xml:space="preserve"> </w:t>
      </w:r>
      <w:r>
        <w:rPr>
          <w:spacing w:val="-4"/>
        </w:rPr>
        <w:t>交叉學科等十</w:t>
      </w:r>
      <w:r>
        <w:rPr>
          <w:rFonts w:ascii="SimSun" w:hAnsi="SimSun" w:eastAsia="SimSun" w:cs="SimSun"/>
          <w:spacing w:val="-4"/>
        </w:rPr>
        <w:t>一</w:t>
      </w:r>
      <w:r>
        <w:rPr>
          <w:spacing w:val="-4"/>
        </w:rPr>
        <w:t>大學科門類 。現有</w:t>
      </w:r>
      <w:r>
        <w:rPr>
          <w:spacing w:val="44"/>
        </w:rPr>
        <w:t xml:space="preserve"> </w:t>
      </w:r>
      <w:r>
        <w:rPr>
          <w:rFonts w:ascii="FangSong" w:hAnsi="FangSong" w:eastAsia="FangSong" w:cs="FangSong"/>
          <w:spacing w:val="-4"/>
        </w:rPr>
        <w:t>10</w:t>
      </w:r>
      <w:r>
        <w:rPr>
          <w:rFonts w:ascii="FangSong" w:hAnsi="FangSong" w:eastAsia="FangSong" w:cs="FangSong"/>
          <w:spacing w:val="-44"/>
        </w:rPr>
        <w:t xml:space="preserve"> </w:t>
      </w:r>
      <w:r>
        <w:rPr>
          <w:spacing w:val="-4"/>
        </w:rPr>
        <w:t>個一級學科博士授權點和博士</w:t>
      </w:r>
      <w:r>
        <w:rPr/>
        <w:t xml:space="preserve"> </w:t>
      </w:r>
      <w:r>
        <w:rPr>
          <w:spacing w:val="-5"/>
        </w:rPr>
        <w:t>專業學位授權點</w:t>
      </w:r>
      <w:r>
        <w:rPr>
          <w:spacing w:val="-31"/>
        </w:rPr>
        <w:t xml:space="preserve"> </w:t>
      </w:r>
      <w:r>
        <w:rPr>
          <w:spacing w:val="-5"/>
        </w:rPr>
        <w:t>，</w:t>
      </w:r>
      <w:r>
        <w:rPr>
          <w:rFonts w:ascii="FangSong" w:hAnsi="FangSong" w:eastAsia="FangSong" w:cs="FangSong"/>
          <w:spacing w:val="-5"/>
        </w:rPr>
        <w:t>8</w:t>
      </w:r>
      <w:r>
        <w:rPr>
          <w:rFonts w:ascii="FangSong" w:hAnsi="FangSong" w:eastAsia="FangSong" w:cs="FangSong"/>
          <w:spacing w:val="-67"/>
        </w:rPr>
        <w:t xml:space="preserve"> </w:t>
      </w:r>
      <w:r>
        <w:rPr>
          <w:spacing w:val="-5"/>
        </w:rPr>
        <w:t>個博士後科研流動站，</w:t>
      </w:r>
      <w:r>
        <w:rPr>
          <w:rFonts w:ascii="FangSong" w:hAnsi="FangSong" w:eastAsia="FangSong" w:cs="FangSong"/>
          <w:spacing w:val="-5"/>
        </w:rPr>
        <w:t>34</w:t>
      </w:r>
      <w:r>
        <w:rPr>
          <w:rFonts w:ascii="FangSong" w:hAnsi="FangSong" w:eastAsia="FangSong" w:cs="FangSong"/>
          <w:spacing w:val="-68"/>
        </w:rPr>
        <w:t xml:space="preserve"> </w:t>
      </w:r>
      <w:r>
        <w:rPr>
          <w:spacing w:val="-5"/>
        </w:rPr>
        <w:t>個學術型碩士學位授權</w:t>
      </w:r>
      <w:r>
        <w:rPr/>
        <w:t xml:space="preserve"> </w:t>
      </w:r>
      <w:r>
        <w:rPr>
          <w:spacing w:val="-9"/>
        </w:rPr>
        <w:t>點</w:t>
      </w:r>
      <w:r>
        <w:rPr>
          <w:spacing w:val="-24"/>
        </w:rPr>
        <w:t xml:space="preserve"> </w:t>
      </w:r>
      <w:r>
        <w:rPr>
          <w:spacing w:val="-9"/>
        </w:rPr>
        <w:t>，</w:t>
      </w:r>
      <w:r>
        <w:rPr>
          <w:rFonts w:ascii="FangSong" w:hAnsi="FangSong" w:eastAsia="FangSong" w:cs="FangSong"/>
          <w:spacing w:val="-9"/>
        </w:rPr>
        <w:t>30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9"/>
        </w:rPr>
        <w:t>個碩士專業學位授權點 。</w:t>
      </w:r>
      <w:r>
        <w:rPr>
          <w:rFonts w:ascii="FangSong" w:hAnsi="FangSong" w:eastAsia="FangSong" w:cs="FangSong"/>
          <w:spacing w:val="-9"/>
        </w:rPr>
        <w:t>2023</w:t>
      </w:r>
      <w:r>
        <w:rPr>
          <w:rFonts w:ascii="FangSong" w:hAnsi="FangSong" w:eastAsia="FangSong" w:cs="FangSong"/>
          <w:spacing w:val="-66"/>
        </w:rPr>
        <w:t xml:space="preserve"> </w:t>
      </w:r>
      <w:r>
        <w:rPr>
          <w:spacing w:val="-9"/>
        </w:rPr>
        <w:t>年本科招生專業 </w:t>
      </w:r>
      <w:r>
        <w:rPr>
          <w:rFonts w:ascii="FangSong" w:hAnsi="FangSong" w:eastAsia="FangSong" w:cs="FangSong"/>
          <w:spacing w:val="-9"/>
        </w:rPr>
        <w:t>76</w:t>
      </w:r>
      <w:r>
        <w:rPr>
          <w:rFonts w:ascii="FangSong" w:hAnsi="FangSong" w:eastAsia="FangSong" w:cs="FangSong"/>
          <w:spacing w:val="-68"/>
        </w:rPr>
        <w:t xml:space="preserve"> </w:t>
      </w:r>
      <w:r>
        <w:rPr>
          <w:spacing w:val="-9"/>
        </w:rPr>
        <w:t>個</w:t>
      </w:r>
      <w:r>
        <w:rPr>
          <w:spacing w:val="-23"/>
        </w:rPr>
        <w:t xml:space="preserve"> </w:t>
      </w:r>
      <w:r>
        <w:rPr>
          <w:spacing w:val="-9"/>
        </w:rPr>
        <w:t>，</w:t>
      </w:r>
      <w:r>
        <w:rPr>
          <w:spacing w:val="-10"/>
        </w:rPr>
        <w:t>其中理</w:t>
      </w:r>
      <w:r>
        <w:rPr/>
        <w:t xml:space="preserve"> </w:t>
      </w:r>
      <w:r>
        <w:rPr>
          <w:spacing w:val="-8"/>
        </w:rPr>
        <w:t>工類專業 </w:t>
      </w:r>
      <w:r>
        <w:rPr>
          <w:rFonts w:ascii="FangSong" w:hAnsi="FangSong" w:eastAsia="FangSong" w:cs="FangSong"/>
          <w:spacing w:val="-8"/>
        </w:rPr>
        <w:t>42</w:t>
      </w:r>
      <w:r>
        <w:rPr>
          <w:rFonts w:ascii="FangSong" w:hAnsi="FangSong" w:eastAsia="FangSong" w:cs="FangSong"/>
          <w:spacing w:val="-67"/>
        </w:rPr>
        <w:t xml:space="preserve"> </w:t>
      </w:r>
      <w:r>
        <w:rPr>
          <w:spacing w:val="-8"/>
        </w:rPr>
        <w:t>個、人文社科類專業 </w:t>
      </w:r>
      <w:r>
        <w:rPr>
          <w:rFonts w:ascii="FangSong" w:hAnsi="FangSong" w:eastAsia="FangSong" w:cs="FangSong"/>
          <w:spacing w:val="-8"/>
        </w:rPr>
        <w:t>26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8"/>
        </w:rPr>
        <w:t>個 、藝術類專業 </w:t>
      </w:r>
      <w:r>
        <w:rPr>
          <w:rFonts w:ascii="FangSong" w:hAnsi="FangSong" w:eastAsia="FangSong" w:cs="FangSong"/>
          <w:spacing w:val="-8"/>
        </w:rPr>
        <w:t>8</w:t>
      </w:r>
      <w:r>
        <w:rPr>
          <w:rFonts w:ascii="FangSong" w:hAnsi="FangSong" w:eastAsia="FangSong" w:cs="FangSong"/>
          <w:spacing w:val="-68"/>
        </w:rPr>
        <w:t xml:space="preserve"> </w:t>
      </w:r>
      <w:r>
        <w:rPr>
          <w:spacing w:val="-8"/>
        </w:rPr>
        <w:t>個</w:t>
      </w:r>
      <w:r>
        <w:rPr>
          <w:spacing w:val="-26"/>
        </w:rPr>
        <w:t xml:space="preserve"> </w:t>
      </w:r>
      <w:r>
        <w:rPr>
          <w:spacing w:val="-8"/>
        </w:rPr>
        <w:t>，</w:t>
      </w:r>
      <w:r>
        <w:rPr>
          <w:spacing w:val="-9"/>
        </w:rPr>
        <w:t>國家級和</w:t>
      </w:r>
      <w:r>
        <w:rPr/>
        <w:t xml:space="preserve"> </w:t>
      </w:r>
      <w:r>
        <w:rPr>
          <w:spacing w:val="-6"/>
        </w:rPr>
        <w:t>省級一流本科專業建設點共計</w:t>
      </w:r>
      <w:r>
        <w:rPr>
          <w:spacing w:val="64"/>
        </w:rPr>
        <w:t xml:space="preserve"> </w:t>
      </w:r>
      <w:r>
        <w:rPr>
          <w:rFonts w:ascii="FangSong" w:hAnsi="FangSong" w:eastAsia="FangSong" w:cs="FangSong"/>
          <w:spacing w:val="-6"/>
        </w:rPr>
        <w:t>52</w:t>
      </w:r>
      <w:r>
        <w:rPr>
          <w:rFonts w:ascii="FangSong" w:hAnsi="FangSong" w:eastAsia="FangSong" w:cs="FangSong"/>
          <w:spacing w:val="-6"/>
        </w:rPr>
        <w:t xml:space="preserve"> </w:t>
      </w:r>
      <w:r>
        <w:rPr>
          <w:spacing w:val="-6"/>
        </w:rPr>
        <w:t>個 ，占</w:t>
      </w:r>
      <w:r>
        <w:rPr>
          <w:spacing w:val="76"/>
        </w:rPr>
        <w:t xml:space="preserve"> </w:t>
      </w:r>
      <w:r>
        <w:rPr>
          <w:rFonts w:ascii="FangSong" w:hAnsi="FangSong" w:eastAsia="FangSong" w:cs="FangSong"/>
          <w:spacing w:val="-6"/>
        </w:rPr>
        <w:t>2023</w:t>
      </w:r>
      <w:r>
        <w:rPr>
          <w:rFonts w:ascii="FangSong" w:hAnsi="FangSong" w:eastAsia="FangSong" w:cs="FangSong"/>
          <w:spacing w:val="-6"/>
        </w:rPr>
        <w:t xml:space="preserve"> </w:t>
      </w:r>
      <w:r>
        <w:rPr>
          <w:spacing w:val="-6"/>
        </w:rPr>
        <w:t>年本科招生專業數近</w:t>
      </w:r>
      <w:r>
        <w:rPr/>
        <w:t xml:space="preserve"> </w:t>
      </w:r>
      <w:r>
        <w:rPr>
          <w:rFonts w:ascii="FangSong" w:hAnsi="FangSong" w:eastAsia="FangSong" w:cs="FangSong"/>
          <w:spacing w:val="-1"/>
        </w:rPr>
        <w:t>70%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-1"/>
        </w:rPr>
        <w:t>。</w:t>
      </w:r>
    </w:p>
    <w:p>
      <w:pPr>
        <w:pStyle w:val="BodyText"/>
        <w:ind w:left="18" w:right="274" w:firstLine="563"/>
        <w:spacing w:before="3" w:line="308" w:lineRule="auto"/>
        <w:jc w:val="both"/>
        <w:rPr/>
      </w:pPr>
      <w:r>
        <w:rPr>
          <w:spacing w:val="-6"/>
        </w:rPr>
        <w:t>近年來，學校整體辦學水平和國內外影響力快速提升，工程學 、</w:t>
      </w:r>
      <w:r>
        <w:rPr>
          <w:spacing w:val="18"/>
        </w:rPr>
        <w:t xml:space="preserve"> </w:t>
      </w:r>
      <w:r>
        <w:rPr>
          <w:spacing w:val="-9"/>
        </w:rPr>
        <w:t>計算機科學、化學、材料科學、環境</w:t>
      </w:r>
      <w:r>
        <w:rPr>
          <w:rFonts w:ascii="FangSong" w:hAnsi="FangSong" w:eastAsia="FangSong" w:cs="FangSong"/>
          <w:spacing w:val="-9"/>
        </w:rPr>
        <w:t>/</w:t>
      </w:r>
      <w:r>
        <w:rPr>
          <w:spacing w:val="-9"/>
        </w:rPr>
        <w:t>生態學、社會科學總論</w:t>
      </w:r>
      <w:r>
        <w:rPr>
          <w:spacing w:val="-10"/>
        </w:rPr>
        <w:t>、數學 、</w:t>
      </w:r>
      <w:r>
        <w:rPr/>
        <w:t xml:space="preserve"> </w:t>
      </w:r>
      <w:r>
        <w:rPr>
          <w:spacing w:val="-4"/>
        </w:rPr>
        <w:t>植物學與動物學等 </w:t>
      </w:r>
      <w:r>
        <w:rPr>
          <w:rFonts w:ascii="FangSong" w:hAnsi="FangSong" w:eastAsia="FangSong" w:cs="FangSong"/>
          <w:spacing w:val="-4"/>
        </w:rPr>
        <w:t>8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4"/>
        </w:rPr>
        <w:t>個學科進入 </w:t>
      </w:r>
      <w:r>
        <w:rPr>
          <w:rFonts w:ascii="FangSong" w:hAnsi="FangSong" w:eastAsia="FangSong" w:cs="FangSong"/>
          <w:spacing w:val="-4"/>
        </w:rPr>
        <w:t>ESI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4"/>
        </w:rPr>
        <w:t>全球前 </w:t>
      </w:r>
      <w:r>
        <w:rPr>
          <w:rFonts w:ascii="FangSong" w:hAnsi="FangSong" w:eastAsia="FangSong" w:cs="FangSong"/>
          <w:spacing w:val="-4"/>
        </w:rPr>
        <w:t>1%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spacing w:val="-5"/>
        </w:rPr>
        <w:t>。</w:t>
      </w:r>
      <w:r>
        <w:rPr>
          <w:rFonts w:ascii="FangSong" w:hAnsi="FangSong" w:eastAsia="FangSong" w:cs="FangSong"/>
          <w:spacing w:val="-5"/>
        </w:rPr>
        <w:t>20</w:t>
      </w:r>
      <w:r>
        <w:rPr>
          <w:rFonts w:ascii="FangSong" w:hAnsi="FangSong" w:eastAsia="FangSong" w:cs="FangSong"/>
          <w:spacing w:val="-68"/>
        </w:rPr>
        <w:t xml:space="preserve"> </w:t>
      </w:r>
      <w:r>
        <w:rPr>
          <w:spacing w:val="-5"/>
        </w:rPr>
        <w:t>個學科上榜 </w:t>
      </w:r>
      <w:r>
        <w:rPr>
          <w:rFonts w:ascii="FangSong" w:hAnsi="FangSong" w:eastAsia="FangSong" w:cs="FangSong"/>
          <w:spacing w:val="-5"/>
        </w:rPr>
        <w:t>2023</w:t>
      </w:r>
      <w:r>
        <w:rPr>
          <w:rFonts w:ascii="FangSong" w:hAnsi="FangSong" w:eastAsia="FangSong" w:cs="FangSong"/>
        </w:rPr>
        <w:t xml:space="preserve"> </w:t>
      </w:r>
      <w:r>
        <w:rPr>
          <w:spacing w:val="-5"/>
        </w:rPr>
        <w:t>軟科世界一流學科，其中土木工程和化學工程進入</w:t>
      </w:r>
      <w:r>
        <w:rPr>
          <w:spacing w:val="-6"/>
        </w:rPr>
        <w:t>世界排名前百強 ；</w:t>
      </w:r>
    </w:p>
    <w:p>
      <w:pPr>
        <w:spacing w:line="308" w:lineRule="auto"/>
        <w:sectPr>
          <w:footerReference w:type="default" r:id="rId1"/>
          <w:pgSz w:w="11907" w:h="16839"/>
          <w:pgMar w:top="1431" w:right="1495" w:bottom="1372" w:left="1785" w:header="0" w:footer="1209" w:gutter="0"/>
        </w:sectPr>
        <w:rPr/>
      </w:pPr>
    </w:p>
    <w:p>
      <w:pPr>
        <w:pStyle w:val="BodyText"/>
        <w:ind w:left="18" w:right="46" w:firstLine="17"/>
        <w:spacing w:before="172" w:line="312" w:lineRule="auto"/>
        <w:jc w:val="both"/>
        <w:rPr/>
      </w:pPr>
      <w:r>
        <w:rPr>
          <w:rFonts w:ascii="FangSong" w:hAnsi="FangSong" w:eastAsia="FangSong" w:cs="FangSong"/>
          <w:spacing w:val="-6"/>
        </w:rPr>
        <w:t>27</w:t>
      </w:r>
      <w:r>
        <w:rPr>
          <w:spacing w:val="-6"/>
        </w:rPr>
        <w:t>個學科上榜軟科</w:t>
      </w:r>
      <w:r>
        <w:rPr>
          <w:spacing w:val="-14"/>
        </w:rPr>
        <w:t xml:space="preserve"> </w:t>
      </w:r>
      <w:r>
        <w:rPr>
          <w:rFonts w:ascii="FangSong" w:hAnsi="FangSong" w:eastAsia="FangSong" w:cs="FangSong"/>
          <w:spacing w:val="-6"/>
        </w:rPr>
        <w:t>2023</w:t>
      </w:r>
      <w:r>
        <w:rPr>
          <w:spacing w:val="-6"/>
        </w:rPr>
        <w:t>“中國最好學科”，其中</w:t>
      </w:r>
      <w:r>
        <w:rPr>
          <w:spacing w:val="-24"/>
        </w:rPr>
        <w:t xml:space="preserve"> </w:t>
      </w:r>
      <w:r>
        <w:rPr>
          <w:rFonts w:ascii="FangSong" w:hAnsi="FangSong" w:eastAsia="FangSong" w:cs="FangSong"/>
          <w:spacing w:val="-6"/>
        </w:rPr>
        <w:t>2</w:t>
      </w:r>
      <w:r>
        <w:rPr>
          <w:spacing w:val="-6"/>
        </w:rPr>
        <w:t>個位列全國前</w:t>
      </w:r>
      <w:r>
        <w:rPr>
          <w:spacing w:val="-18"/>
        </w:rPr>
        <w:t xml:space="preserve"> </w:t>
      </w:r>
      <w:r>
        <w:rPr>
          <w:rFonts w:ascii="FangSong" w:hAnsi="FangSong" w:eastAsia="FangSong" w:cs="FangSong"/>
          <w:spacing w:val="-6"/>
        </w:rPr>
        <w:t>12%</w:t>
      </w:r>
      <w:r>
        <w:rPr>
          <w:spacing w:val="-6"/>
        </w:rPr>
        <w:t>、</w:t>
      </w:r>
      <w:r>
        <w:rPr/>
        <w:t xml:space="preserve"> </w:t>
      </w:r>
      <w:r>
        <w:rPr>
          <w:rFonts w:ascii="FangSong" w:hAnsi="FangSong" w:eastAsia="FangSong" w:cs="FangSong"/>
          <w:spacing w:val="-5"/>
        </w:rPr>
        <w:t>7</w:t>
      </w:r>
      <w:r>
        <w:rPr>
          <w:rFonts w:ascii="FangSong" w:hAnsi="FangSong" w:eastAsia="FangSong" w:cs="FangSong"/>
          <w:spacing w:val="-5"/>
        </w:rPr>
        <w:t xml:space="preserve"> </w:t>
      </w:r>
      <w:r>
        <w:rPr>
          <w:spacing w:val="-5"/>
        </w:rPr>
        <w:t>個位列全國前</w:t>
      </w:r>
      <w:r>
        <w:rPr>
          <w:spacing w:val="57"/>
        </w:rPr>
        <w:t xml:space="preserve"> </w:t>
      </w:r>
      <w:r>
        <w:rPr>
          <w:rFonts w:ascii="FangSong" w:hAnsi="FangSong" w:eastAsia="FangSong" w:cs="FangSong"/>
          <w:spacing w:val="-5"/>
        </w:rPr>
        <w:t>20%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-5"/>
        </w:rPr>
        <w:t>。學校在</w:t>
      </w:r>
      <w:r>
        <w:rPr>
          <w:spacing w:val="55"/>
        </w:rPr>
        <w:t xml:space="preserve"> </w:t>
      </w:r>
      <w:r>
        <w:rPr>
          <w:rFonts w:ascii="FangSong" w:hAnsi="FangSong" w:eastAsia="FangSong" w:cs="FangSong"/>
          <w:spacing w:val="-5"/>
        </w:rPr>
        <w:t>2023</w:t>
      </w:r>
      <w:r>
        <w:rPr>
          <w:rFonts w:ascii="FangSong" w:hAnsi="FangSong" w:eastAsia="FangSong" w:cs="FangSong"/>
          <w:spacing w:val="-5"/>
        </w:rPr>
        <w:t xml:space="preserve"> </w:t>
      </w:r>
      <w:r>
        <w:rPr>
          <w:spacing w:val="-6"/>
        </w:rPr>
        <w:t>軟科中國大學排名中位列主榜第</w:t>
      </w:r>
      <w:r>
        <w:rPr/>
        <w:t xml:space="preserve">  </w:t>
      </w:r>
      <w:r>
        <w:rPr>
          <w:rFonts w:ascii="FangSong" w:hAnsi="FangSong" w:eastAsia="FangSong" w:cs="FangSong"/>
          <w:spacing w:val="-4"/>
        </w:rPr>
        <w:t>97</w:t>
      </w:r>
      <w:r>
        <w:rPr>
          <w:rFonts w:ascii="FangSong" w:hAnsi="FangSong" w:eastAsia="FangSong" w:cs="FangSong"/>
          <w:spacing w:val="-43"/>
        </w:rPr>
        <w:t xml:space="preserve"> </w:t>
      </w:r>
      <w:r>
        <w:rPr>
          <w:spacing w:val="-4"/>
        </w:rPr>
        <w:t>位，自</w:t>
      </w:r>
      <w:r>
        <w:rPr>
          <w:spacing w:val="33"/>
        </w:rPr>
        <w:t xml:space="preserve"> </w:t>
      </w:r>
      <w:r>
        <w:rPr>
          <w:rFonts w:ascii="FangSong" w:hAnsi="FangSong" w:eastAsia="FangSong" w:cs="FangSong"/>
          <w:spacing w:val="-4"/>
        </w:rPr>
        <w:t>2020</w:t>
      </w:r>
      <w:r>
        <w:rPr>
          <w:rFonts w:ascii="FangSong" w:hAnsi="FangSong" w:eastAsia="FangSong" w:cs="FangSong"/>
          <w:spacing w:val="-43"/>
        </w:rPr>
        <w:t xml:space="preserve"> </w:t>
      </w:r>
      <w:r>
        <w:rPr>
          <w:spacing w:val="-4"/>
        </w:rPr>
        <w:t>年以來一直穩居國內百強 ；在</w:t>
      </w:r>
      <w:r>
        <w:rPr>
          <w:spacing w:val="30"/>
        </w:rPr>
        <w:t xml:space="preserve"> </w:t>
      </w:r>
      <w:r>
        <w:rPr>
          <w:rFonts w:ascii="FangSong" w:hAnsi="FangSong" w:eastAsia="FangSong" w:cs="FangSong"/>
          <w:spacing w:val="-4"/>
        </w:rPr>
        <w:t>2023</w:t>
      </w:r>
      <w:r>
        <w:rPr>
          <w:rFonts w:ascii="FangSong" w:hAnsi="FangSong" w:eastAsia="FangSong" w:cs="FangSong"/>
          <w:spacing w:val="-42"/>
        </w:rPr>
        <w:t xml:space="preserve"> </w:t>
      </w:r>
      <w:r>
        <w:rPr>
          <w:spacing w:val="-4"/>
        </w:rPr>
        <w:t>軟科</w:t>
      </w:r>
      <w:r>
        <w:rPr>
          <w:spacing w:val="-5"/>
        </w:rPr>
        <w:t>世界大學學</w:t>
      </w:r>
      <w:r>
        <w:rPr/>
        <w:t xml:space="preserve">  </w:t>
      </w:r>
      <w:r>
        <w:rPr>
          <w:spacing w:val="16"/>
        </w:rPr>
        <w:t>術排名中位列世界大學第  </w:t>
      </w:r>
      <w:r>
        <w:rPr>
          <w:rFonts w:ascii="FangSong" w:hAnsi="FangSong" w:eastAsia="FangSong" w:cs="FangSong"/>
          <w:spacing w:val="16"/>
        </w:rPr>
        <w:t>463</w:t>
      </w:r>
      <w:r>
        <w:rPr>
          <w:rFonts w:ascii="FangSong" w:hAnsi="FangSong" w:eastAsia="FangSong" w:cs="FangSong"/>
          <w:spacing w:val="16"/>
        </w:rPr>
        <w:t xml:space="preserve"> </w:t>
      </w:r>
      <w:r>
        <w:rPr>
          <w:spacing w:val="16"/>
        </w:rPr>
        <w:t>位、中國內地高校第  </w:t>
      </w:r>
      <w:r>
        <w:rPr>
          <w:rFonts w:ascii="FangSong" w:hAnsi="FangSong" w:eastAsia="FangSong" w:cs="FangSong"/>
          <w:spacing w:val="16"/>
        </w:rPr>
        <w:t>78</w:t>
      </w:r>
      <w:r>
        <w:rPr>
          <w:rFonts w:ascii="FangSong" w:hAnsi="FangSong" w:eastAsia="FangSong" w:cs="FangSong"/>
          <w:spacing w:val="16"/>
        </w:rPr>
        <w:t xml:space="preserve"> </w:t>
      </w:r>
      <w:r>
        <w:rPr>
          <w:spacing w:val="16"/>
        </w:rPr>
        <w:t>位；在</w:t>
      </w:r>
      <w:r>
        <w:rPr>
          <w:spacing w:val="4"/>
        </w:rPr>
        <w:t xml:space="preserve">  </w:t>
      </w:r>
      <w:r>
        <w:rPr>
          <w:rFonts w:ascii="FangSong" w:hAnsi="FangSong" w:eastAsia="FangSong" w:cs="FangSong"/>
          <w:spacing w:val="-2"/>
        </w:rPr>
        <w:t>US.News2023</w:t>
      </w:r>
      <w:r>
        <w:rPr>
          <w:rFonts w:ascii="FangSong" w:hAnsi="FangSong" w:eastAsia="FangSong" w:cs="FangSong"/>
          <w:spacing w:val="-30"/>
        </w:rPr>
        <w:t xml:space="preserve"> </w:t>
      </w:r>
      <w:r>
        <w:rPr>
          <w:spacing w:val="-2"/>
        </w:rPr>
        <w:t>世界大學排名中位列世界大學第</w:t>
      </w:r>
      <w:r>
        <w:rPr>
          <w:spacing w:val="34"/>
        </w:rPr>
        <w:t xml:space="preserve"> </w:t>
      </w:r>
      <w:r>
        <w:rPr>
          <w:rFonts w:ascii="FangSong" w:hAnsi="FangSong" w:eastAsia="FangSong" w:cs="FangSong"/>
          <w:spacing w:val="-2"/>
        </w:rPr>
        <w:t>551</w:t>
      </w:r>
      <w:r>
        <w:rPr>
          <w:rFonts w:ascii="FangSong" w:hAnsi="FangSong" w:eastAsia="FangSong" w:cs="FangSong"/>
          <w:spacing w:val="-41"/>
        </w:rPr>
        <w:t xml:space="preserve"> </w:t>
      </w:r>
      <w:r>
        <w:rPr>
          <w:spacing w:val="-2"/>
        </w:rPr>
        <w:t>位；在</w:t>
      </w:r>
      <w:r>
        <w:rPr>
          <w:spacing w:val="33"/>
        </w:rPr>
        <w:t xml:space="preserve"> </w:t>
      </w:r>
      <w:r>
        <w:rPr>
          <w:rFonts w:ascii="FangSong" w:hAnsi="FangSong" w:eastAsia="FangSong" w:cs="FangSong"/>
          <w:spacing w:val="-2"/>
        </w:rPr>
        <w:t>2024</w:t>
      </w:r>
      <w:r>
        <w:rPr>
          <w:rFonts w:ascii="FangSong" w:hAnsi="FangSong" w:eastAsia="FangSong" w:cs="FangSong"/>
          <w:spacing w:val="-43"/>
        </w:rPr>
        <w:t xml:space="preserve"> </w:t>
      </w:r>
      <w:r>
        <w:rPr>
          <w:spacing w:val="-2"/>
        </w:rPr>
        <w:t>泰晤</w:t>
      </w:r>
      <w:r>
        <w:rPr/>
        <w:t xml:space="preserve">  </w:t>
      </w:r>
      <w:r>
        <w:rPr/>
        <w:t>士高等教育世界大學排名中位列世界大學第 </w:t>
      </w:r>
      <w:r>
        <w:rPr>
          <w:rFonts w:ascii="FangSong" w:hAnsi="FangSong" w:eastAsia="FangSong" w:cs="FangSong"/>
        </w:rPr>
        <w:t>801-1000</w:t>
      </w:r>
      <w:r>
        <w:rPr>
          <w:rFonts w:ascii="FangSong" w:hAnsi="FangSong" w:eastAsia="FangSong" w:cs="FangSong"/>
          <w:spacing w:val="-57"/>
        </w:rPr>
        <w:t xml:space="preserve"> </w:t>
      </w:r>
      <w:r>
        <w:rPr/>
        <w:t>位。</w:t>
      </w:r>
    </w:p>
    <w:p>
      <w:pPr>
        <w:pStyle w:val="BodyText"/>
        <w:ind w:left="18" w:right="2" w:firstLine="559"/>
        <w:spacing w:before="13" w:line="311" w:lineRule="auto"/>
        <w:jc w:val="both"/>
        <w:rPr/>
      </w:pPr>
      <w:r>
        <w:rPr>
          <w:spacing w:val="-4"/>
        </w:rPr>
        <w:t>學校堅持重大需求導向、一流建設、創新引領、特色發展、精准</w:t>
      </w:r>
      <w:r>
        <w:rPr>
          <w:spacing w:val="7"/>
        </w:rPr>
        <w:t xml:space="preserve">  </w:t>
      </w:r>
      <w:r>
        <w:rPr>
          <w:spacing w:val="-8"/>
        </w:rPr>
        <w:t>聚焦的發展原則，按照“理厚工精、文優教特、交叉融合、創新發展”</w:t>
      </w:r>
      <w:r>
        <w:rPr>
          <w:spacing w:val="13"/>
        </w:rPr>
        <w:t xml:space="preserve"> </w:t>
      </w:r>
      <w:r>
        <w:rPr>
          <w:spacing w:val="-5"/>
        </w:rPr>
        <w:t>的學科建設思路，不斷調整和優化學科專業結構</w:t>
      </w:r>
      <w:r>
        <w:rPr>
          <w:spacing w:val="-24"/>
        </w:rPr>
        <w:t xml:space="preserve"> </w:t>
      </w:r>
      <w:r>
        <w:rPr>
          <w:spacing w:val="-5"/>
        </w:rPr>
        <w:t>，</w:t>
      </w:r>
      <w:r>
        <w:rPr>
          <w:spacing w:val="-6"/>
        </w:rPr>
        <w:t>深化人文社科、理</w:t>
      </w:r>
      <w:r>
        <w:rPr/>
        <w:t xml:space="preserve">  </w:t>
      </w:r>
      <w:r>
        <w:rPr>
          <w:spacing w:val="-5"/>
        </w:rPr>
        <w:t>科類優勢學科內涵建設</w:t>
      </w:r>
      <w:r>
        <w:rPr>
          <w:spacing w:val="-24"/>
        </w:rPr>
        <w:t xml:space="preserve"> </w:t>
      </w:r>
      <w:r>
        <w:rPr>
          <w:spacing w:val="-5"/>
        </w:rPr>
        <w:t>，提升基礎學科支撐能力；強</w:t>
      </w:r>
      <w:r>
        <w:rPr>
          <w:spacing w:val="-6"/>
        </w:rPr>
        <w:t>化師範教育、藝</w:t>
      </w:r>
      <w:r>
        <w:rPr/>
        <w:t xml:space="preserve">  </w:t>
      </w:r>
      <w:r>
        <w:rPr>
          <w:spacing w:val="-5"/>
        </w:rPr>
        <w:t>術類學科特色建設</w:t>
      </w:r>
      <w:r>
        <w:rPr>
          <w:spacing w:val="-31"/>
        </w:rPr>
        <w:t xml:space="preserve"> </w:t>
      </w:r>
      <w:r>
        <w:rPr>
          <w:spacing w:val="-5"/>
        </w:rPr>
        <w:t>；面向新科技領域和高新技術產業需求，集聚工科</w:t>
      </w:r>
      <w:r>
        <w:rPr/>
        <w:t xml:space="preserve">  </w:t>
      </w:r>
      <w:r>
        <w:rPr>
          <w:spacing w:val="-4"/>
        </w:rPr>
        <w:t>力量、強化交叉融合，增創和形成新工科優勢。現已形成 </w:t>
      </w:r>
      <w:r>
        <w:rPr>
          <w:rFonts w:ascii="FangSong" w:hAnsi="FangSong" w:eastAsia="FangSong" w:cs="FangSong"/>
          <w:spacing w:val="-4"/>
        </w:rPr>
        <w:t>6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-4"/>
        </w:rPr>
        <w:t>個省高水</w:t>
      </w:r>
      <w:r>
        <w:rPr/>
        <w:t xml:space="preserve">  </w:t>
      </w:r>
      <w:r>
        <w:rPr>
          <w:spacing w:val="-1"/>
        </w:rPr>
        <w:t>平大學建設“沖一流”重點建設學科、</w:t>
      </w:r>
      <w:r>
        <w:rPr>
          <w:rFonts w:ascii="FangSong" w:hAnsi="FangSong" w:eastAsia="FangSong" w:cs="FangSong"/>
          <w:spacing w:val="-1"/>
        </w:rPr>
        <w:t>14</w:t>
      </w:r>
      <w:r>
        <w:rPr>
          <w:rFonts w:ascii="FangSong" w:hAnsi="FangSong" w:eastAsia="FangSong" w:cs="FangSong"/>
          <w:spacing w:val="-23"/>
        </w:rPr>
        <w:t xml:space="preserve"> </w:t>
      </w:r>
      <w:r>
        <w:rPr>
          <w:spacing w:val="-1"/>
        </w:rPr>
        <w:t>個省級重點學科、</w:t>
      </w:r>
      <w:r>
        <w:rPr>
          <w:rFonts w:ascii="FangSong" w:hAnsi="FangSong" w:eastAsia="FangSong" w:cs="FangSong"/>
          <w:spacing w:val="-1"/>
        </w:rPr>
        <w:t>18</w:t>
      </w:r>
      <w:r>
        <w:rPr>
          <w:rFonts w:ascii="FangSong" w:hAnsi="FangSong" w:eastAsia="FangSong" w:cs="FangSong"/>
          <w:spacing w:val="-44"/>
        </w:rPr>
        <w:t xml:space="preserve"> </w:t>
      </w:r>
      <w:r>
        <w:rPr>
          <w:spacing w:val="-1"/>
        </w:rPr>
        <w:t>個市</w:t>
      </w:r>
      <w:r>
        <w:rPr/>
        <w:t xml:space="preserve">  </w:t>
      </w:r>
      <w:r>
        <w:rPr>
          <w:spacing w:val="1"/>
        </w:rPr>
        <w:t>級重點學科和重點扶持學科構成的重點建設學科體系。</w:t>
      </w:r>
    </w:p>
    <w:p>
      <w:pPr>
        <w:pStyle w:val="BodyText"/>
        <w:ind w:left="23" w:firstLine="554"/>
        <w:spacing w:line="312" w:lineRule="auto"/>
        <w:jc w:val="both"/>
        <w:rPr/>
      </w:pPr>
      <w:r>
        <w:rPr>
          <w:spacing w:val="3"/>
        </w:rPr>
        <w:t>學校堅持立德樹人根本任務 ，堅持本科人才培養中心地位，以</w:t>
      </w:r>
      <w:r>
        <w:rPr>
          <w:spacing w:val="5"/>
        </w:rPr>
        <w:t xml:space="preserve">   </w:t>
      </w:r>
      <w:r>
        <w:rPr>
          <w:spacing w:val="-8"/>
        </w:rPr>
        <w:t>“德才兼備、家國情懷、視野開闊，愛體育、懂藝術，能力發展性強”</w:t>
      </w:r>
      <w:r>
        <w:rPr>
          <w:spacing w:val="11"/>
        </w:rPr>
        <w:t xml:space="preserve"> </w:t>
      </w:r>
      <w:r>
        <w:rPr>
          <w:spacing w:val="-5"/>
        </w:rPr>
        <w:t>為人才培養目標 ，設立“文體藝語勞”</w:t>
      </w:r>
      <w:r>
        <w:rPr>
          <w:spacing w:val="-48"/>
        </w:rPr>
        <w:t xml:space="preserve"> </w:t>
      </w:r>
      <w:r>
        <w:rPr>
          <w:rFonts w:ascii="FangSong" w:hAnsi="FangSong" w:eastAsia="FangSong" w:cs="FangSong"/>
          <w:spacing w:val="-5"/>
        </w:rPr>
        <w:t>5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-5"/>
        </w:rPr>
        <w:t>個公共素質教育中心，致力</w:t>
      </w:r>
      <w:r>
        <w:rPr/>
        <w:t xml:space="preserve">  </w:t>
      </w:r>
      <w:r>
        <w:rPr>
          <w:spacing w:val="-1"/>
        </w:rPr>
        <w:t>於培養具有廣大底色的創新型人才。學校現有</w:t>
      </w:r>
      <w:r>
        <w:rPr>
          <w:spacing w:val="31"/>
        </w:rPr>
        <w:t xml:space="preserve"> </w:t>
      </w:r>
      <w:r>
        <w:rPr>
          <w:rFonts w:ascii="FangSong" w:hAnsi="FangSong" w:eastAsia="FangSong" w:cs="FangSong"/>
          <w:spacing w:val="-1"/>
        </w:rPr>
        <w:t>40</w:t>
      </w:r>
      <w:r>
        <w:rPr>
          <w:rFonts w:ascii="FangSong" w:hAnsi="FangSong" w:eastAsia="FangSong" w:cs="FangSong"/>
          <w:spacing w:val="-40"/>
        </w:rPr>
        <w:t xml:space="preserve"> </w:t>
      </w:r>
      <w:r>
        <w:rPr>
          <w:spacing w:val="-1"/>
        </w:rPr>
        <w:t>個國</w:t>
      </w:r>
      <w:r>
        <w:rPr>
          <w:spacing w:val="-2"/>
        </w:rPr>
        <w:t>家級一流本科</w:t>
      </w:r>
      <w:r>
        <w:rPr/>
        <w:t xml:space="preserve">  </w:t>
      </w:r>
      <w:r>
        <w:rPr>
          <w:spacing w:val="-5"/>
        </w:rPr>
        <w:t>專業建設點、</w:t>
      </w:r>
      <w:r>
        <w:rPr>
          <w:rFonts w:ascii="FangSong" w:hAnsi="FangSong" w:eastAsia="FangSong" w:cs="FangSong"/>
          <w:spacing w:val="-5"/>
        </w:rPr>
        <w:t>52</w:t>
      </w:r>
      <w:r>
        <w:rPr>
          <w:rFonts w:ascii="FangSong" w:hAnsi="FangSong" w:eastAsia="FangSong" w:cs="FangSong"/>
          <w:spacing w:val="-67"/>
        </w:rPr>
        <w:t xml:space="preserve"> </w:t>
      </w:r>
      <w:r>
        <w:rPr>
          <w:spacing w:val="-5"/>
        </w:rPr>
        <w:t>個廣東省一流本科專業建設點（含國家級</w:t>
      </w:r>
      <w:r>
        <w:rPr>
          <w:spacing w:val="-40"/>
          <w:w w:val="60"/>
        </w:rPr>
        <w:t>），</w:t>
      </w:r>
      <w:r>
        <w:rPr>
          <w:spacing w:val="-5"/>
        </w:rPr>
        <w:t>國家級</w:t>
      </w:r>
      <w:r>
        <w:rPr>
          <w:spacing w:val="20"/>
          <w:w w:val="101"/>
        </w:rPr>
        <w:t xml:space="preserve"> </w:t>
      </w:r>
      <w:r>
        <w:rPr>
          <w:spacing w:val="-5"/>
        </w:rPr>
        <w:t>、</w:t>
      </w:r>
      <w:r>
        <w:rPr/>
        <w:t xml:space="preserve"> </w:t>
      </w:r>
      <w:r>
        <w:rPr>
          <w:spacing w:val="-1"/>
        </w:rPr>
        <w:t>省級一流本科專業建設點學院覆蓋率達 </w:t>
      </w:r>
      <w:r>
        <w:rPr>
          <w:rFonts w:ascii="FangSong" w:hAnsi="FangSong" w:eastAsia="FangSong" w:cs="FangSong"/>
          <w:spacing w:val="-1"/>
        </w:rPr>
        <w:t>100%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spacing w:val="-1"/>
        </w:rPr>
        <w:t>。</w:t>
      </w:r>
    </w:p>
    <w:p>
      <w:pPr>
        <w:pStyle w:val="BodyText"/>
        <w:ind w:left="23"/>
        <w:spacing w:before="1" w:line="185" w:lineRule="auto"/>
        <w:outlineLvl w:val="1"/>
        <w:rPr/>
      </w:pPr>
      <w:r>
        <w:rPr>
          <w:b/>
          <w:bCs/>
          <w:spacing w:val="-1"/>
        </w:rPr>
        <w:t>二、招生計劃和專業</w:t>
      </w:r>
    </w:p>
    <w:p>
      <w:pPr>
        <w:pStyle w:val="BodyText"/>
        <w:ind w:left="614"/>
        <w:spacing w:before="262" w:line="185" w:lineRule="auto"/>
        <w:rPr/>
      </w:pPr>
      <w:r>
        <w:rPr>
          <w:rFonts w:ascii="FangSong" w:hAnsi="FangSong" w:eastAsia="FangSong" w:cs="FangSong"/>
          <w:spacing w:val="-11"/>
        </w:rPr>
        <w:t>1.</w:t>
      </w:r>
      <w:r>
        <w:rPr>
          <w:spacing w:val="-11"/>
        </w:rPr>
        <w:t>招生計劃 ：</w:t>
      </w:r>
      <w:r>
        <w:rPr>
          <w:rFonts w:ascii="FangSong" w:hAnsi="FangSong" w:eastAsia="FangSong" w:cs="FangSong"/>
          <w:spacing w:val="-11"/>
        </w:rPr>
        <w:t>5</w:t>
      </w:r>
      <w:r>
        <w:rPr>
          <w:rFonts w:ascii="FangSong" w:hAnsi="FangSong" w:eastAsia="FangSong" w:cs="FangSong"/>
          <w:spacing w:val="-62"/>
        </w:rPr>
        <w:t xml:space="preserve"> </w:t>
      </w:r>
      <w:r>
        <w:rPr>
          <w:spacing w:val="-11"/>
        </w:rPr>
        <w:t>人</w:t>
      </w:r>
    </w:p>
    <w:p>
      <w:pPr>
        <w:spacing w:line="185" w:lineRule="auto"/>
        <w:sectPr>
          <w:footerReference w:type="default" r:id="rId2"/>
          <w:pgSz w:w="11907" w:h="16839"/>
          <w:pgMar w:top="1431" w:right="1653" w:bottom="1373" w:left="1785" w:header="0" w:footer="1209" w:gutter="0"/>
        </w:sectPr>
        <w:rPr/>
      </w:pPr>
    </w:p>
    <w:p>
      <w:pPr>
        <w:pStyle w:val="BodyText"/>
        <w:ind w:left="693"/>
        <w:spacing w:before="189" w:line="186" w:lineRule="auto"/>
        <w:rPr/>
      </w:pPr>
      <w:r>
        <w:rPr>
          <w:rFonts w:ascii="FangSong" w:hAnsi="FangSong" w:eastAsia="FangSong" w:cs="FangSong"/>
          <w:spacing w:val="-3"/>
        </w:rPr>
        <w:t>2.</w:t>
      </w:r>
      <w:r>
        <w:rPr>
          <w:spacing w:val="-3"/>
        </w:rPr>
        <w:t>招生專業</w:t>
      </w:r>
      <w:r>
        <w:rPr>
          <w:spacing w:val="-17"/>
        </w:rPr>
        <w:t xml:space="preserve"> </w:t>
      </w:r>
      <w:r>
        <w:rPr>
          <w:spacing w:val="-3"/>
        </w:rPr>
        <w:t>：</w:t>
      </w:r>
    </w:p>
    <w:p>
      <w:pPr>
        <w:spacing w:line="71" w:lineRule="exact"/>
        <w:rPr/>
      </w:pPr>
      <w:r/>
    </w:p>
    <w:tbl>
      <w:tblPr>
        <w:tblStyle w:val="TableNormal"/>
        <w:tblW w:w="85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7"/>
        <w:gridCol w:w="2267"/>
        <w:gridCol w:w="2368"/>
        <w:gridCol w:w="1600"/>
        <w:gridCol w:w="849"/>
        <w:gridCol w:w="713"/>
      </w:tblGrid>
      <w:tr>
        <w:trPr>
          <w:trHeight w:val="396" w:hRule="atLeast"/>
        </w:trPr>
        <w:tc>
          <w:tcPr>
            <w:tcW w:w="707" w:type="dxa"/>
            <w:vAlign w:val="top"/>
          </w:tcPr>
          <w:p>
            <w:pPr>
              <w:pStyle w:val="TableText"/>
              <w:ind w:left="144"/>
              <w:spacing w:before="53" w:line="185" w:lineRule="auto"/>
              <w:rPr/>
            </w:pPr>
            <w:r>
              <w:rPr>
                <w:b/>
                <w:bCs/>
                <w:spacing w:val="-1"/>
              </w:rPr>
              <w:t>序號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3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91" w:line="187" w:lineRule="auto"/>
              <w:rPr/>
            </w:pPr>
            <w:r>
              <w:rPr>
                <w:b/>
                <w:bCs/>
                <w:spacing w:val="-1"/>
              </w:rPr>
              <w:t>專業名稱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專業限制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學位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147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學制</w:t>
            </w:r>
          </w:p>
        </w:tc>
      </w:tr>
      <w:tr>
        <w:trPr>
          <w:trHeight w:val="388" w:hRule="atLeast"/>
        </w:trPr>
        <w:tc>
          <w:tcPr>
            <w:tcW w:w="707" w:type="dxa"/>
            <w:vAlign w:val="top"/>
          </w:tcPr>
          <w:p>
            <w:pPr>
              <w:ind w:left="315"/>
              <w:spacing w:before="91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48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73"/>
              <w:spacing w:before="48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48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1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7" w:type="dxa"/>
            <w:vAlign w:val="top"/>
          </w:tcPr>
          <w:p>
            <w:pPr>
              <w:ind w:left="309"/>
              <w:spacing w:before="90" w:line="182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48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73"/>
              <w:spacing w:before="48" w:line="188" w:lineRule="auto"/>
              <w:rPr/>
            </w:pPr>
            <w:r>
              <w:rPr>
                <w:spacing w:val="-1"/>
              </w:rPr>
              <w:t>金融學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48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7" w:type="dxa"/>
            <w:vAlign w:val="top"/>
          </w:tcPr>
          <w:p>
            <w:pPr>
              <w:ind w:left="307"/>
              <w:spacing w:before="91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49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62"/>
              <w:spacing w:before="49" w:line="186" w:lineRule="auto"/>
              <w:rPr/>
            </w:pPr>
            <w:r>
              <w:rPr>
                <w:spacing w:val="-2"/>
              </w:rPr>
              <w:t>國際經濟與貿易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49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391" w:hRule="atLeast"/>
        </w:trPr>
        <w:tc>
          <w:tcPr>
            <w:tcW w:w="707" w:type="dxa"/>
            <w:vAlign w:val="top"/>
          </w:tcPr>
          <w:p>
            <w:pPr>
              <w:ind w:left="302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52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73"/>
              <w:spacing w:before="52" w:line="186" w:lineRule="auto"/>
              <w:rPr/>
            </w:pPr>
            <w:r>
              <w:rPr>
                <w:spacing w:val="-1"/>
              </w:rPr>
              <w:t>統計學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7" w:type="dxa"/>
            <w:vAlign w:val="top"/>
          </w:tcPr>
          <w:p>
            <w:pPr>
              <w:ind w:left="307"/>
              <w:spacing w:before="94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50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135"/>
              <w:spacing w:before="50" w:line="185" w:lineRule="auto"/>
              <w:rPr/>
            </w:pPr>
            <w:r>
              <w:rPr/>
              <w:t>數據科學與大數據技術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3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7" w:type="dxa"/>
            <w:vAlign w:val="top"/>
          </w:tcPr>
          <w:p>
            <w:pPr>
              <w:ind w:left="308"/>
              <w:spacing w:before="92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50" w:line="186" w:lineRule="auto"/>
              <w:rPr/>
            </w:pPr>
            <w:r>
              <w:rPr>
                <w:spacing w:val="-1"/>
              </w:rPr>
              <w:t>經濟與統計學院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1" w:line="185" w:lineRule="auto"/>
              <w:rPr/>
            </w:pPr>
            <w:r>
              <w:rPr/>
              <w:t>數字經濟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0" w:line="186" w:lineRule="auto"/>
              <w:rPr/>
            </w:pPr>
            <w:r>
              <w:rPr>
                <w:spacing w:val="-1"/>
              </w:rPr>
              <w:t>經濟學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3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389" w:hRule="atLeast"/>
        </w:trPr>
        <w:tc>
          <w:tcPr>
            <w:tcW w:w="707" w:type="dxa"/>
            <w:vAlign w:val="top"/>
          </w:tcPr>
          <w:p>
            <w:pPr>
              <w:ind w:left="307"/>
              <w:spacing w:before="95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51" w:line="181" w:lineRule="auto"/>
              <w:rPr/>
            </w:pPr>
            <w:r>
              <w:rPr>
                <w:spacing w:val="-1"/>
              </w:rPr>
              <w:t>法學院（律師學院）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978"/>
              <w:spacing w:before="51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22"/>
              <w:spacing w:before="51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4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388" w:hRule="atLeast"/>
        </w:trPr>
        <w:tc>
          <w:tcPr>
            <w:tcW w:w="707" w:type="dxa"/>
            <w:vAlign w:val="top"/>
          </w:tcPr>
          <w:p>
            <w:pPr>
              <w:ind w:left="305"/>
              <w:spacing w:before="93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52" w:line="186" w:lineRule="auto"/>
              <w:rPr/>
            </w:pPr>
            <w:r>
              <w:rPr>
                <w:spacing w:val="-1"/>
              </w:rPr>
              <w:t>馬克思主義學院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141"/>
              <w:spacing w:before="51" w:line="181" w:lineRule="auto"/>
              <w:rPr/>
            </w:pPr>
            <w:r>
              <w:rPr>
                <w:spacing w:val="-1"/>
              </w:rPr>
              <w:t>思想政治教育（師範）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22"/>
              <w:spacing w:before="51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4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22" w:hRule="atLeast"/>
        </w:trPr>
        <w:tc>
          <w:tcPr>
            <w:tcW w:w="707" w:type="dxa"/>
            <w:vAlign w:val="top"/>
          </w:tcPr>
          <w:p>
            <w:pPr>
              <w:ind w:left="30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07"/>
              <w:spacing w:before="52" w:line="181" w:lineRule="auto"/>
              <w:rPr/>
            </w:pPr>
            <w:r>
              <w:rPr/>
              <w:t>教育學院（師範學院）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238"/>
              <w:spacing w:before="52" w:line="181" w:lineRule="auto"/>
              <w:rPr/>
            </w:pPr>
            <w:r>
              <w:rPr/>
              <w:t>教育技術學（師範）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56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07"/>
              <w:spacing w:before="52" w:line="181" w:lineRule="auto"/>
              <w:rPr/>
            </w:pPr>
            <w:r>
              <w:rPr/>
              <w:t>教育學院（師範學院）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43"/>
              <w:spacing w:before="52" w:line="181" w:lineRule="auto"/>
              <w:rPr/>
            </w:pPr>
            <w:r>
              <w:rPr/>
              <w:t>學前教育（師範）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2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52" w:line="186" w:lineRule="auto"/>
              <w:rPr/>
            </w:pPr>
            <w:r>
              <w:rPr/>
              <w:t>教育學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07"/>
              <w:spacing w:before="52" w:line="181" w:lineRule="auto"/>
              <w:rPr/>
            </w:pPr>
            <w:r>
              <w:rPr/>
              <w:t>教育學院（師範學院）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47"/>
              <w:spacing w:before="52" w:line="181" w:lineRule="auto"/>
              <w:rPr/>
            </w:pPr>
            <w:r>
              <w:rPr>
                <w:spacing w:val="-1"/>
              </w:rPr>
              <w:t>小學教育（師範）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52" w:line="186" w:lineRule="auto"/>
              <w:rPr/>
            </w:pPr>
            <w:r>
              <w:rPr/>
              <w:t>教育學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5" w:line="182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07"/>
              <w:spacing w:before="54" w:line="181" w:lineRule="auto"/>
              <w:rPr/>
            </w:pPr>
            <w:r>
              <w:rPr/>
              <w:t>教育學院（師範學院）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43"/>
              <w:spacing w:before="54" w:line="181" w:lineRule="auto"/>
              <w:rPr/>
            </w:pPr>
            <w:r>
              <w:rPr/>
              <w:t>特殊教育（師範）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4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54" w:line="186" w:lineRule="auto"/>
              <w:rPr/>
            </w:pPr>
            <w:r>
              <w:rPr/>
              <w:t>教育學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07"/>
              <w:spacing w:before="52" w:line="181" w:lineRule="auto"/>
              <w:rPr/>
            </w:pPr>
            <w:r>
              <w:rPr/>
              <w:t>教育學院（師範學院）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658"/>
              <w:spacing w:before="52" w:line="185" w:lineRule="auto"/>
              <w:rPr/>
            </w:pPr>
            <w:r>
              <w:rPr/>
              <w:t>應用心理學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2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07"/>
              <w:spacing w:before="54" w:line="181" w:lineRule="auto"/>
              <w:rPr/>
            </w:pPr>
            <w:r>
              <w:rPr/>
              <w:t>教育學院（師範學院）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238"/>
              <w:spacing w:before="54" w:line="181" w:lineRule="auto"/>
              <w:rPr/>
            </w:pPr>
            <w:r>
              <w:rPr/>
              <w:t>應用心理學（師範）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4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15"/>
              <w:spacing w:before="52" w:line="187" w:lineRule="auto"/>
              <w:rPr/>
            </w:pPr>
            <w:r>
              <w:rPr>
                <w:spacing w:val="-1"/>
              </w:rPr>
              <w:t>人文學院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661"/>
              <w:spacing w:before="51" w:line="186" w:lineRule="auto"/>
              <w:rPr/>
            </w:pPr>
            <w:r>
              <w:rPr>
                <w:spacing w:val="-1"/>
              </w:rPr>
              <w:t>漢語言文學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6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15"/>
              <w:spacing w:before="54" w:line="187" w:lineRule="auto"/>
              <w:rPr/>
            </w:pPr>
            <w:r>
              <w:rPr>
                <w:spacing w:val="-1"/>
              </w:rPr>
              <w:t>人文學院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241"/>
              <w:spacing w:before="55" w:line="181" w:lineRule="auto"/>
              <w:rPr/>
            </w:pPr>
            <w:r>
              <w:rPr>
                <w:spacing w:val="-1"/>
              </w:rPr>
              <w:t>漢語言文學（師範）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715"/>
              <w:spacing w:before="52" w:line="187" w:lineRule="auto"/>
              <w:rPr/>
            </w:pPr>
            <w:r>
              <w:rPr>
                <w:spacing w:val="-1"/>
              </w:rPr>
              <w:t>人文學院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49"/>
              <w:spacing w:before="52" w:line="181" w:lineRule="auto"/>
              <w:rPr/>
            </w:pPr>
            <w:r>
              <w:rPr>
                <w:spacing w:val="-1"/>
              </w:rPr>
              <w:t>歷史學（師範）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3"/>
              <w:spacing w:before="52" w:line="186" w:lineRule="auto"/>
              <w:rPr/>
            </w:pPr>
            <w:r>
              <w:rPr/>
              <w:t>歷史學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6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6"/>
              <w:spacing w:before="55" w:line="186" w:lineRule="auto"/>
              <w:rPr/>
            </w:pPr>
            <w:r>
              <w:rPr/>
              <w:t>外國語學院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975"/>
              <w:spacing w:before="54" w:line="186" w:lineRule="auto"/>
              <w:rPr/>
            </w:pPr>
            <w:r>
              <w:rPr>
                <w:spacing w:val="-1"/>
              </w:rPr>
              <w:t>英語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62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4"/>
              </w:rPr>
              <w:t>19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6"/>
              <w:spacing w:before="53" w:line="186" w:lineRule="auto"/>
              <w:rPr/>
            </w:pPr>
            <w:r>
              <w:rPr/>
              <w:t>外國語學院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5"/>
              <w:spacing w:before="52" w:line="181" w:lineRule="auto"/>
              <w:rPr/>
            </w:pPr>
            <w:r>
              <w:rPr/>
              <w:t>英語（師範）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6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6"/>
              <w:spacing w:before="55" w:line="186" w:lineRule="auto"/>
              <w:rPr/>
            </w:pPr>
            <w:r>
              <w:rPr/>
              <w:t>外國語學院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978"/>
              <w:spacing w:before="55" w:line="186" w:lineRule="auto"/>
              <w:rPr/>
            </w:pPr>
            <w:r>
              <w:rPr>
                <w:spacing w:val="-2"/>
              </w:rPr>
              <w:t>法語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3" w:line="182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606"/>
              <w:spacing w:before="53" w:line="186" w:lineRule="auto"/>
              <w:rPr/>
            </w:pPr>
            <w:r>
              <w:rPr/>
              <w:t>外國語學院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1011"/>
              <w:spacing w:before="53" w:line="186" w:lineRule="auto"/>
              <w:rPr/>
            </w:pPr>
            <w:r>
              <w:rPr>
                <w:spacing w:val="-10"/>
              </w:rPr>
              <w:t>日語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1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5" w:line="182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55" w:line="186" w:lineRule="auto"/>
              <w:rPr/>
            </w:pPr>
            <w:r>
              <w:rPr>
                <w:spacing w:val="-1"/>
              </w:rPr>
              <w:t>新聞與傳播學院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658"/>
              <w:spacing w:before="55" w:line="185" w:lineRule="auto"/>
              <w:rPr/>
            </w:pPr>
            <w:r>
              <w:rPr/>
              <w:t>廣播電視學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52" w:line="186" w:lineRule="auto"/>
              <w:rPr/>
            </w:pPr>
            <w:r>
              <w:rPr>
                <w:spacing w:val="-1"/>
              </w:rPr>
              <w:t>新聞與傳播學院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8"/>
              <w:spacing w:before="52" w:line="186" w:lineRule="auto"/>
              <w:rPr/>
            </w:pPr>
            <w:r>
              <w:rPr>
                <w:spacing w:val="-1"/>
              </w:rPr>
              <w:t>網絡與新媒體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文學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6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400"/>
              <w:spacing w:before="54" w:line="186" w:lineRule="auto"/>
              <w:rPr/>
            </w:pPr>
            <w:r>
              <w:rPr>
                <w:spacing w:val="-1"/>
              </w:rPr>
              <w:t>新聞與傳播學院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5"/>
              <w:spacing w:before="55" w:line="185" w:lineRule="auto"/>
              <w:rPr/>
            </w:pPr>
            <w:r>
              <w:rPr/>
              <w:t>廣播電視編導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4" w:line="186" w:lineRule="auto"/>
              <w:rPr/>
            </w:pPr>
            <w:r>
              <w:rPr>
                <w:spacing w:val="-1"/>
              </w:rPr>
              <w:t>藝術學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52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8" w:line="169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2" w:line="187" w:lineRule="auto"/>
              <w:rPr/>
            </w:pPr>
            <w:r>
              <w:rPr/>
              <w:t>工程管理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487" w:right="165" w:hanging="314"/>
              <w:spacing w:before="53" w:line="188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52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9" w:line="168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2" w:line="187" w:lineRule="auto"/>
              <w:rPr/>
            </w:pPr>
            <w:r>
              <w:rPr/>
              <w:t>工商管理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3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35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53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8" w:line="173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70"/>
              <w:spacing w:before="53" w:line="186" w:lineRule="auto"/>
              <w:rPr/>
            </w:pPr>
            <w:r>
              <w:rPr>
                <w:spacing w:val="-2"/>
              </w:rPr>
              <w:t>市場營銷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3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3"/>
          <w:pgSz w:w="11907" w:h="16839"/>
          <w:pgMar w:top="1431" w:right="1696" w:bottom="1373" w:left="1699" w:header="0" w:footer="120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7"/>
        <w:gridCol w:w="2267"/>
        <w:gridCol w:w="2368"/>
        <w:gridCol w:w="1600"/>
        <w:gridCol w:w="849"/>
        <w:gridCol w:w="713"/>
      </w:tblGrid>
      <w:tr>
        <w:trPr>
          <w:trHeight w:val="396" w:hRule="atLeast"/>
        </w:trPr>
        <w:tc>
          <w:tcPr>
            <w:tcW w:w="707" w:type="dxa"/>
            <w:vAlign w:val="top"/>
          </w:tcPr>
          <w:p>
            <w:pPr>
              <w:pStyle w:val="TableText"/>
              <w:ind w:left="144"/>
              <w:spacing w:before="53" w:line="185" w:lineRule="auto"/>
              <w:rPr/>
            </w:pPr>
            <w:r>
              <w:rPr>
                <w:b/>
                <w:bCs/>
                <w:spacing w:val="-1"/>
              </w:rPr>
              <w:t>序號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3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92" w:line="187" w:lineRule="auto"/>
              <w:rPr/>
            </w:pPr>
            <w:r>
              <w:rPr>
                <w:b/>
                <w:bCs/>
                <w:spacing w:val="-1"/>
              </w:rPr>
              <w:t>專業名稱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專業限制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學位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147"/>
              <w:spacing w:before="93" w:line="186" w:lineRule="auto"/>
              <w:rPr/>
            </w:pPr>
            <w:r>
              <w:rPr>
                <w:b/>
                <w:bCs/>
                <w:spacing w:val="-1"/>
              </w:rPr>
              <w:t>學制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0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48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8" w:line="171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73"/>
              <w:spacing w:before="48" w:line="186" w:lineRule="auto"/>
              <w:rPr/>
            </w:pPr>
            <w:r>
              <w:rPr>
                <w:spacing w:val="-1"/>
              </w:rPr>
              <w:t>會計學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49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1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6"/>
              <w:spacing w:before="91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29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49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8" w:line="171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49" w:line="186" w:lineRule="auto"/>
              <w:rPr/>
            </w:pPr>
            <w:r>
              <w:rPr/>
              <w:t>物流管理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49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2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49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9" w:line="170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50" w:line="187" w:lineRule="auto"/>
              <w:rPr/>
            </w:pPr>
            <w:r>
              <w:rPr>
                <w:spacing w:val="-1"/>
              </w:rPr>
              <w:t>電子商務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0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3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31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52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9" w:line="170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3" w:line="187" w:lineRule="auto"/>
              <w:rPr/>
            </w:pPr>
            <w:r>
              <w:rPr/>
              <w:t>旅遊管理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3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2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17"/>
              <w:spacing w:before="50" w:line="189" w:lineRule="auto"/>
              <w:rPr/>
            </w:pPr>
            <w:r>
              <w:rPr>
                <w:spacing w:val="-1"/>
              </w:rPr>
              <w:t>管理學院</w:t>
            </w:r>
            <w:r>
              <w:rPr>
                <w:rFonts w:ascii="Calibri" w:hAnsi="Calibri" w:eastAsia="Calibri" w:cs="Calibri"/>
                <w:spacing w:val="-1"/>
              </w:rPr>
              <w:t>(</w:t>
            </w:r>
            <w:r>
              <w:rPr>
                <w:spacing w:val="-1"/>
              </w:rPr>
              <w:t>旅遊學院</w:t>
            </w:r>
            <w:r>
              <w:rPr>
                <w:rFonts w:ascii="Calibri" w:hAnsi="Calibri" w:eastAsia="Calibri" w:cs="Calibri"/>
                <w:spacing w:val="-1"/>
              </w:rPr>
              <w:t>/</w:t>
            </w:r>
            <w:r>
              <w:rPr>
                <w:spacing w:val="-1"/>
              </w:rPr>
              <w:t>中</w:t>
            </w:r>
          </w:p>
          <w:p>
            <w:pPr>
              <w:pStyle w:val="TableText"/>
              <w:ind w:left="578"/>
              <w:spacing w:before="28" w:line="170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法旅遊學院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207"/>
              <w:spacing w:before="50" w:line="189" w:lineRule="auto"/>
              <w:rPr/>
            </w:pPr>
            <w:r>
              <w:rPr/>
              <w:t>旅遊管理</w:t>
            </w:r>
            <w:r>
              <w:rPr>
                <w:rFonts w:ascii="Calibri" w:hAnsi="Calibri" w:eastAsia="Calibri" w:cs="Calibri"/>
              </w:rPr>
              <w:t>(</w:t>
            </w:r>
            <w:r>
              <w:rPr/>
              <w:t>中外合作辦</w:t>
            </w:r>
          </w:p>
          <w:p>
            <w:pPr>
              <w:pStyle w:val="TableText"/>
              <w:ind w:left="1047"/>
              <w:spacing w:before="28" w:line="170" w:lineRule="auto"/>
              <w:rPr>
                <w:rFonts w:ascii="Calibri" w:hAnsi="Calibri" w:eastAsia="Calibri" w:cs="Calibri"/>
              </w:rPr>
            </w:pPr>
            <w:r>
              <w:rPr>
                <w:spacing w:val="-1"/>
              </w:rPr>
              <w:t>學</w:t>
            </w:r>
            <w:r>
              <w:rPr>
                <w:rFonts w:ascii="Calibri" w:hAnsi="Calibri" w:eastAsia="Calibri" w:cs="Calibri"/>
                <w:spacing w:val="-1"/>
              </w:rPr>
              <w:t>)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0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3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3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3"/>
              <w:spacing w:before="52" w:line="186" w:lineRule="auto"/>
              <w:rPr/>
            </w:pPr>
            <w:r>
              <w:rPr/>
              <w:t>公共管理學院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69"/>
              <w:spacing w:before="52" w:line="186" w:lineRule="auto"/>
              <w:rPr/>
            </w:pPr>
            <w:r>
              <w:rPr/>
              <w:t>社會學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22"/>
              <w:spacing w:before="51" w:line="187" w:lineRule="auto"/>
              <w:rPr/>
            </w:pPr>
            <w:r>
              <w:rPr>
                <w:spacing w:val="-2"/>
              </w:rPr>
              <w:t>法學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4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3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3"/>
              <w:spacing w:before="52" w:line="186" w:lineRule="auto"/>
              <w:rPr/>
            </w:pPr>
            <w:r>
              <w:rPr/>
              <w:t>公共管理學院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1" w:line="186" w:lineRule="auto"/>
              <w:rPr/>
            </w:pPr>
            <w:r>
              <w:rPr/>
              <w:t>行政管理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117"/>
              <w:spacing w:before="51" w:line="187" w:lineRule="auto"/>
              <w:rPr/>
            </w:pPr>
            <w:r>
              <w:rPr>
                <w:spacing w:val="-1"/>
              </w:rPr>
              <w:t>管理學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4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7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3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2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49"/>
              <w:spacing w:before="52" w:line="185" w:lineRule="auto"/>
              <w:rPr/>
            </w:pPr>
            <w:r>
              <w:rPr/>
              <w:t>數學與應用數學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4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spacing w:before="52" w:line="181" w:lineRule="auto"/>
              <w:jc w:val="right"/>
              <w:rPr/>
            </w:pPr>
            <w:r>
              <w:rPr>
                <w:spacing w:val="-6"/>
              </w:rPr>
              <w:t>數學與應用數學（師範）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49"/>
              <w:spacing w:before="52" w:line="186" w:lineRule="auto"/>
              <w:rPr/>
            </w:pPr>
            <w:r>
              <w:rPr/>
              <w:t>信息與計算科學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5" w:lineRule="auto"/>
              <w:rPr/>
            </w:pPr>
            <w:r>
              <w:rPr/>
              <w:t>數學與信息科學學院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3" w:line="186" w:lineRule="auto"/>
              <w:rPr/>
            </w:pPr>
            <w:r>
              <w:rPr/>
              <w:t>信息安全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39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69"/>
              <w:spacing w:before="52" w:line="187" w:lineRule="auto"/>
              <w:rPr/>
            </w:pPr>
            <w:r>
              <w:rPr/>
              <w:t>物理學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2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49"/>
              <w:spacing w:before="52" w:line="181" w:lineRule="auto"/>
              <w:rPr/>
            </w:pPr>
            <w:r>
              <w:rPr>
                <w:spacing w:val="-1"/>
              </w:rPr>
              <w:t>物理學（師範）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73"/>
              <w:spacing w:before="53" w:line="187" w:lineRule="auto"/>
              <w:rPr/>
            </w:pPr>
            <w:r>
              <w:rPr>
                <w:spacing w:val="-1"/>
              </w:rPr>
              <w:t>天文學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3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49"/>
              <w:spacing w:before="53" w:line="186" w:lineRule="auto"/>
              <w:rPr/>
            </w:pPr>
            <w:r>
              <w:rPr/>
              <w:t>材料科學與工程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物理與材料科學學院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241"/>
              <w:spacing w:before="53" w:line="186" w:lineRule="auto"/>
              <w:rPr/>
            </w:pPr>
            <w:r>
              <w:rPr>
                <w:spacing w:val="-1"/>
              </w:rPr>
              <w:t>光電信息科學與工程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3"/>
              <w:spacing w:before="53" w:line="187" w:lineRule="auto"/>
              <w:rPr/>
            </w:pPr>
            <w:r>
              <w:rPr/>
              <w:t>化學化工學院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975"/>
              <w:spacing w:before="52" w:line="188" w:lineRule="auto"/>
              <w:rPr/>
            </w:pPr>
            <w:r>
              <w:rPr>
                <w:spacing w:val="-1"/>
              </w:rPr>
              <w:t>化學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3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3"/>
              <w:spacing w:before="53" w:line="187" w:lineRule="auto"/>
              <w:rPr/>
            </w:pPr>
            <w:r>
              <w:rPr/>
              <w:t>化學化工學院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5"/>
              <w:spacing w:before="53" w:line="181" w:lineRule="auto"/>
              <w:rPr/>
            </w:pPr>
            <w:r>
              <w:rPr/>
              <w:t>化學（師範）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3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3"/>
              <w:spacing w:before="53" w:line="187" w:lineRule="auto"/>
              <w:rPr/>
            </w:pPr>
            <w:r>
              <w:rPr/>
              <w:t>化學化工學院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49"/>
              <w:spacing w:before="52" w:line="186" w:lineRule="auto"/>
              <w:rPr/>
            </w:pPr>
            <w:r>
              <w:rPr/>
              <w:t>化學工程與工藝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3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4" w:line="186" w:lineRule="auto"/>
              <w:rPr/>
            </w:pPr>
            <w:r>
              <w:rPr/>
              <w:t>地理科學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3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43"/>
              <w:spacing w:before="53" w:line="181" w:lineRule="auto"/>
              <w:rPr/>
            </w:pPr>
            <w:r>
              <w:rPr/>
              <w:t>地理科學（師範）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4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4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49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1"/>
              </w:rPr>
              <w:t>49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4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241"/>
              <w:spacing w:before="53" w:line="186" w:lineRule="auto"/>
              <w:rPr/>
            </w:pPr>
            <w:r>
              <w:rPr>
                <w:spacing w:val="-1"/>
              </w:rPr>
              <w:t>人文地理與城鄉規劃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4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4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5"/>
              <w:spacing w:before="54" w:line="186" w:lineRule="auto"/>
              <w:rPr/>
            </w:pPr>
            <w:r>
              <w:rPr/>
              <w:t>地理信息科學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4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4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4" w:line="186" w:lineRule="auto"/>
              <w:rPr/>
            </w:pPr>
            <w:r>
              <w:rPr/>
              <w:t>地理科學與遙感學院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452"/>
              <w:spacing w:before="53" w:line="186" w:lineRule="auto"/>
              <w:rPr/>
            </w:pPr>
            <w:r>
              <w:rPr>
                <w:spacing w:val="-1"/>
              </w:rPr>
              <w:t>遙感科學與技術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4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4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6"/>
              <w:spacing w:before="53" w:line="186" w:lineRule="auto"/>
              <w:rPr/>
            </w:pPr>
            <w:r>
              <w:rPr>
                <w:spacing w:val="-1"/>
              </w:rPr>
              <w:t>生命科學學院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54" w:line="186" w:lineRule="auto"/>
              <w:rPr/>
            </w:pPr>
            <w:r>
              <w:rPr>
                <w:spacing w:val="-1"/>
              </w:rPr>
              <w:t>生物科學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4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4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2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6"/>
              <w:spacing w:before="53" w:line="186" w:lineRule="auto"/>
              <w:rPr/>
            </w:pPr>
            <w:r>
              <w:rPr>
                <w:spacing w:val="-1"/>
              </w:rPr>
              <w:t>生命科學學院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47"/>
              <w:spacing w:before="54" w:line="181" w:lineRule="auto"/>
              <w:rPr/>
            </w:pPr>
            <w:r>
              <w:rPr>
                <w:spacing w:val="-1"/>
              </w:rPr>
              <w:t>生物科學（師範）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4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4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4"/>
          <w:pgSz w:w="11907" w:h="16839"/>
          <w:pgMar w:top="1431" w:right="1696" w:bottom="1372" w:left="1699" w:header="0" w:footer="1209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91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850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7"/>
        <w:gridCol w:w="2267"/>
        <w:gridCol w:w="2368"/>
        <w:gridCol w:w="1600"/>
        <w:gridCol w:w="849"/>
        <w:gridCol w:w="713"/>
      </w:tblGrid>
      <w:tr>
        <w:trPr>
          <w:trHeight w:val="396" w:hRule="atLeast"/>
        </w:trPr>
        <w:tc>
          <w:tcPr>
            <w:tcW w:w="707" w:type="dxa"/>
            <w:vAlign w:val="top"/>
          </w:tcPr>
          <w:p>
            <w:pPr>
              <w:pStyle w:val="TableText"/>
              <w:ind w:left="144"/>
              <w:spacing w:before="53" w:line="185" w:lineRule="auto"/>
              <w:rPr/>
            </w:pPr>
            <w:r>
              <w:rPr>
                <w:b/>
                <w:bCs/>
                <w:spacing w:val="-1"/>
              </w:rPr>
              <w:t>序號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923"/>
              <w:spacing w:before="92" w:line="185" w:lineRule="auto"/>
              <w:rPr/>
            </w:pPr>
            <w:r>
              <w:rPr>
                <w:b/>
                <w:bCs/>
                <w:spacing w:val="-1"/>
              </w:rPr>
              <w:t>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92" w:line="187" w:lineRule="auto"/>
              <w:rPr/>
            </w:pPr>
            <w:r>
              <w:rPr>
                <w:b/>
                <w:bCs/>
                <w:spacing w:val="-1"/>
              </w:rPr>
              <w:t>專業名稱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專業限制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92" w:line="186" w:lineRule="auto"/>
              <w:rPr/>
            </w:pPr>
            <w:r>
              <w:rPr>
                <w:b/>
                <w:bCs/>
                <w:spacing w:val="-1"/>
              </w:rPr>
              <w:t>學位</w:t>
            </w:r>
          </w:p>
        </w:tc>
        <w:tc>
          <w:tcPr>
            <w:tcW w:w="713" w:type="dxa"/>
            <w:vAlign w:val="top"/>
          </w:tcPr>
          <w:p>
            <w:pPr>
              <w:pStyle w:val="TableText"/>
              <w:ind w:left="147"/>
              <w:spacing w:before="93" w:line="186" w:lineRule="auto"/>
              <w:rPr/>
            </w:pPr>
            <w:r>
              <w:rPr>
                <w:b/>
                <w:bCs/>
                <w:spacing w:val="-1"/>
              </w:rPr>
              <w:t>學制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1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6"/>
              <w:spacing w:before="48" w:line="186" w:lineRule="auto"/>
              <w:rPr/>
            </w:pPr>
            <w:r>
              <w:rPr>
                <w:spacing w:val="-1"/>
              </w:rPr>
              <w:t>生命科學學院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49" w:line="185" w:lineRule="auto"/>
              <w:rPr/>
            </w:pPr>
            <w:r>
              <w:rPr>
                <w:spacing w:val="-1"/>
              </w:rPr>
              <w:t>生物製藥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49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49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1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3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49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1078" w:right="128" w:hanging="943"/>
              <w:spacing w:before="50" w:line="189" w:lineRule="auto"/>
              <w:rPr/>
            </w:pPr>
            <w:r>
              <w:rPr>
                <w:spacing w:val="-1"/>
              </w:rPr>
              <w:t>機械設計製造及其自動</w:t>
            </w:r>
            <w:r>
              <w:rPr>
                <w:spacing w:val="8"/>
              </w:rPr>
              <w:t xml:space="preserve"> </w:t>
            </w:r>
            <w:r>
              <w:rPr/>
              <w:t>化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49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1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49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8"/>
              <w:spacing w:before="50" w:line="185" w:lineRule="auto"/>
              <w:rPr/>
            </w:pPr>
            <w:r>
              <w:rPr>
                <w:spacing w:val="-1"/>
              </w:rPr>
              <w:t>智能製造工程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3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49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241"/>
              <w:spacing w:before="49" w:line="186" w:lineRule="auto"/>
              <w:rPr/>
            </w:pPr>
            <w:r>
              <w:rPr>
                <w:spacing w:val="-1"/>
              </w:rPr>
              <w:t>電氣工程及其自動化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1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49" w:line="186" w:lineRule="auto"/>
              <w:rPr/>
            </w:pPr>
            <w:r>
              <w:rPr/>
              <w:t>機械與電氣工程學院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658"/>
              <w:spacing w:before="49" w:line="186" w:lineRule="auto"/>
              <w:rPr/>
            </w:pPr>
            <w:r>
              <w:rPr/>
              <w:t>機器人工程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1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59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9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8"/>
              <w:spacing w:before="50" w:line="186" w:lineRule="auto"/>
              <w:rPr/>
            </w:pPr>
            <w:r>
              <w:rPr>
                <w:spacing w:val="-1"/>
              </w:rPr>
              <w:t>電子信息工程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1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49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70"/>
              <w:spacing w:before="50" w:line="186" w:lineRule="auto"/>
              <w:rPr/>
            </w:pPr>
            <w:r>
              <w:rPr>
                <w:spacing w:val="-2"/>
              </w:rPr>
              <w:t>通信工程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2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2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50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658"/>
              <w:spacing w:before="50" w:line="186" w:lineRule="auto"/>
              <w:rPr/>
            </w:pPr>
            <w:r>
              <w:rPr/>
              <w:t>物聯網工程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3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2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50" w:line="186" w:lineRule="auto"/>
              <w:rPr/>
            </w:pPr>
            <w:r>
              <w:rPr>
                <w:spacing w:val="-1"/>
              </w:rPr>
              <w:t>電子與通信工程學院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1081" w:right="128" w:hanging="943"/>
              <w:spacing w:before="50" w:line="189" w:lineRule="auto"/>
              <w:rPr/>
            </w:pPr>
            <w:r>
              <w:rPr>
                <w:spacing w:val="-1"/>
              </w:rPr>
              <w:t>集成電路設計與集成系</w:t>
            </w:r>
            <w:r>
              <w:rPr>
                <w:spacing w:val="5"/>
              </w:rPr>
              <w:t xml:space="preserve"> </w:t>
            </w:r>
            <w:r>
              <w:rPr/>
              <w:t>統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0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3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2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7" w:right="185" w:hanging="631"/>
              <w:spacing w:before="50" w:line="189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51" w:line="186" w:lineRule="auto"/>
              <w:rPr/>
            </w:pPr>
            <w:r>
              <w:rPr>
                <w:spacing w:val="-1"/>
              </w:rPr>
              <w:t>人工智能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487" w:right="165" w:hanging="314"/>
              <w:spacing w:before="50" w:line="189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1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3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3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7" w:right="185" w:hanging="631"/>
              <w:spacing w:before="50" w:line="189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43"/>
              <w:spacing w:before="51" w:line="186" w:lineRule="auto"/>
              <w:rPr/>
            </w:pPr>
            <w:r>
              <w:rPr/>
              <w:t>計算機科學與技術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487" w:right="165" w:hanging="314"/>
              <w:spacing w:before="50" w:line="189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4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7" w:right="185" w:hanging="631"/>
              <w:spacing w:before="53" w:line="188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1" w:line="187" w:lineRule="auto"/>
              <w:rPr/>
            </w:pPr>
            <w:r>
              <w:rPr/>
              <w:t>軟件工程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2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9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817" w:right="185" w:hanging="631"/>
              <w:spacing w:before="54" w:line="188" w:lineRule="auto"/>
              <w:rPr/>
            </w:pPr>
            <w:r>
              <w:rPr/>
              <w:t>計算機科學與網絡工 </w:t>
            </w:r>
            <w:r>
              <w:rPr/>
              <w:t>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52" w:line="186" w:lineRule="auto"/>
              <w:rPr/>
            </w:pPr>
            <w:r>
              <w:rPr>
                <w:spacing w:val="-1"/>
              </w:rPr>
              <w:t>網絡工程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487" w:right="165" w:hanging="314"/>
              <w:spacing w:before="54" w:line="188" w:lineRule="auto"/>
              <w:rPr/>
            </w:pPr>
            <w:r>
              <w:rPr>
                <w:spacing w:val="-1"/>
              </w:rPr>
              <w:t>不招單色識別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不全者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7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67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295"/>
              <w:spacing w:before="55" w:line="186" w:lineRule="auto"/>
              <w:rPr/>
            </w:pPr>
            <w:r>
              <w:rPr>
                <w:spacing w:val="-1"/>
              </w:rPr>
              <w:t>網絡空間安全學院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558"/>
              <w:spacing w:before="55" w:line="186" w:lineRule="auto"/>
              <w:rPr/>
            </w:pPr>
            <w:r>
              <w:rPr>
                <w:spacing w:val="-1"/>
              </w:rPr>
              <w:t>網絡空間安全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8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68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52" w:line="186" w:lineRule="auto"/>
              <w:rPr/>
            </w:pPr>
            <w:r>
              <w:rPr>
                <w:spacing w:val="-1"/>
              </w:rPr>
              <w:t>建築與城市規劃學院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73"/>
              <w:spacing w:before="52" w:line="186" w:lineRule="auto"/>
              <w:rPr/>
            </w:pPr>
            <w:r>
              <w:rPr>
                <w:spacing w:val="-1"/>
              </w:rPr>
              <w:t>建築學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3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11"/>
              <w:spacing w:before="96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5"/>
              <w:spacing w:before="97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3"/>
              </w:rPr>
              <w:t>69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54" w:line="186" w:lineRule="auto"/>
              <w:rPr/>
            </w:pPr>
            <w:r>
              <w:rPr>
                <w:spacing w:val="-1"/>
              </w:rPr>
              <w:t>建築與城市規劃學院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4" w:line="186" w:lineRule="auto"/>
              <w:rPr/>
            </w:pPr>
            <w:r>
              <w:rPr/>
              <w:t>城鄉規劃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5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11"/>
              <w:spacing w:before="99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5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70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9"/>
              <w:spacing w:before="52" w:line="186" w:lineRule="auto"/>
              <w:rPr/>
            </w:pPr>
            <w:r>
              <w:rPr>
                <w:spacing w:val="-1"/>
              </w:rPr>
              <w:t>建築與城市規劃學院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2" w:line="186" w:lineRule="auto"/>
              <w:rPr/>
            </w:pPr>
            <w:r>
              <w:rPr/>
              <w:t>風景園林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384"/>
              <w:spacing w:before="53" w:line="186" w:lineRule="auto"/>
              <w:rPr/>
            </w:pPr>
            <w:r>
              <w:rPr>
                <w:spacing w:val="-1"/>
              </w:rPr>
              <w:t>不招色盲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11"/>
              <w:spacing w:before="96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5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8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71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6"/>
              <w:spacing w:before="54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54" w:line="187" w:lineRule="auto"/>
              <w:rPr/>
            </w:pPr>
            <w:r>
              <w:rPr>
                <w:spacing w:val="-1"/>
              </w:rPr>
              <w:t>土木工程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5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8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628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4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72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6"/>
              <w:spacing w:before="52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1078" w:right="128" w:hanging="940"/>
              <w:spacing w:before="53" w:line="188" w:lineRule="auto"/>
              <w:rPr/>
            </w:pPr>
            <w:r>
              <w:rPr>
                <w:spacing w:val="-1"/>
              </w:rPr>
              <w:t>建築環境與能源應用工</w:t>
            </w:r>
            <w:r>
              <w:rPr>
                <w:spacing w:val="5"/>
              </w:rPr>
              <w:t xml:space="preserve"> </w:t>
            </w:r>
            <w:r>
              <w:rPr/>
              <w:t>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5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1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6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73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6"/>
              <w:spacing w:before="53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47"/>
              <w:spacing w:before="54" w:line="186" w:lineRule="auto"/>
              <w:rPr/>
            </w:pPr>
            <w:r>
              <w:rPr>
                <w:spacing w:val="-1"/>
              </w:rPr>
              <w:t>給排水科學與工程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4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7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68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74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506"/>
              <w:spacing w:before="53" w:line="187" w:lineRule="auto"/>
              <w:rPr/>
            </w:pPr>
            <w:r>
              <w:rPr>
                <w:spacing w:val="-1"/>
              </w:rPr>
              <w:t>土木工程學院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7"/>
              <w:spacing w:before="54" w:line="186" w:lineRule="auto"/>
              <w:rPr/>
            </w:pPr>
            <w:r>
              <w:rPr>
                <w:spacing w:val="-1"/>
              </w:rPr>
              <w:t>交通工程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0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7" w:line="179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75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環境科學與工程學院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3" w:line="186" w:lineRule="auto"/>
              <w:rPr/>
            </w:pPr>
            <w:r>
              <w:rPr/>
              <w:t>環境工程</w:t>
            </w:r>
          </w:p>
        </w:tc>
        <w:tc>
          <w:tcPr>
            <w:tcW w:w="1600" w:type="dxa"/>
            <w:vAlign w:val="top"/>
          </w:tcPr>
          <w:p>
            <w:pPr>
              <w:pStyle w:val="TableText"/>
              <w:ind w:left="173"/>
              <w:spacing w:before="53" w:line="186" w:lineRule="auto"/>
              <w:rPr/>
            </w:pPr>
            <w:r>
              <w:rPr>
                <w:spacing w:val="-1"/>
              </w:rPr>
              <w:t>不招色盲色弱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工學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  <w:tr>
        <w:trPr>
          <w:trHeight w:val="472" w:hRule="atLeast"/>
        </w:trPr>
        <w:tc>
          <w:tcPr>
            <w:tcW w:w="707" w:type="dxa"/>
            <w:vAlign w:val="top"/>
          </w:tcPr>
          <w:p>
            <w:pPr>
              <w:ind w:left="254"/>
              <w:spacing w:before="95" w:line="181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  <w:spacing w:val="-2"/>
              </w:rPr>
              <w:t>76</w:t>
            </w:r>
          </w:p>
        </w:tc>
        <w:tc>
          <w:tcPr>
            <w:tcW w:w="2267" w:type="dxa"/>
            <w:vAlign w:val="top"/>
          </w:tcPr>
          <w:p>
            <w:pPr>
              <w:pStyle w:val="TableText"/>
              <w:ind w:left="186"/>
              <w:spacing w:before="53" w:line="186" w:lineRule="auto"/>
              <w:rPr/>
            </w:pPr>
            <w:r>
              <w:rPr/>
              <w:t>環境科學與工程學院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763"/>
              <w:spacing w:before="53" w:line="186" w:lineRule="auto"/>
              <w:rPr/>
            </w:pPr>
            <w:r>
              <w:rPr/>
              <w:t>環境科學</w:t>
            </w:r>
          </w:p>
        </w:tc>
        <w:tc>
          <w:tcPr>
            <w:tcW w:w="160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</w:tcPr>
          <w:p>
            <w:pPr>
              <w:pStyle w:val="TableText"/>
              <w:ind w:left="219"/>
              <w:spacing w:before="53" w:line="188" w:lineRule="auto"/>
              <w:rPr/>
            </w:pPr>
            <w:r>
              <w:rPr>
                <w:spacing w:val="-1"/>
              </w:rPr>
              <w:t>理學</w:t>
            </w:r>
          </w:p>
        </w:tc>
        <w:tc>
          <w:tcPr>
            <w:tcW w:w="713" w:type="dxa"/>
            <w:vAlign w:val="top"/>
          </w:tcPr>
          <w:p>
            <w:pPr>
              <w:ind w:left="305"/>
              <w:spacing w:before="96" w:line="180" w:lineRule="auto"/>
              <w:rPr>
                <w:rFonts w:ascii="Calibri" w:hAnsi="Calibri" w:eastAsia="Calibri" w:cs="Calibri"/>
                <w:sz w:val="21"/>
                <w:szCs w:val="21"/>
              </w:rPr>
            </w:pPr>
            <w:r>
              <w:rPr>
                <w:rFonts w:ascii="Calibri" w:hAnsi="Calibri" w:eastAsia="Calibri" w:cs="Calibri"/>
                <w:sz w:val="21"/>
                <w:szCs w:val="21"/>
              </w:rPr>
              <w:t>4</w:t>
            </w:r>
          </w:p>
        </w:tc>
      </w:tr>
    </w:tbl>
    <w:p>
      <w:pPr>
        <w:pStyle w:val="BodyText"/>
        <w:ind w:left="657"/>
        <w:spacing w:before="239" w:line="185" w:lineRule="auto"/>
        <w:rPr>
          <w:rFonts w:ascii="SimSun" w:hAnsi="SimSun" w:eastAsia="SimSun" w:cs="SimSun"/>
          <w:sz w:val="18"/>
          <w:szCs w:val="18"/>
        </w:rPr>
      </w:pPr>
      <w:r>
        <w:rPr>
          <w:sz w:val="18"/>
          <w:szCs w:val="18"/>
        </w:rPr>
        <w:t>備註：以上專業若有調整，已實際發出錄取通知</w:t>
      </w:r>
      <w:r>
        <w:rPr>
          <w:sz w:val="18"/>
          <w:szCs w:val="18"/>
          <w:spacing w:val="-1"/>
        </w:rPr>
        <w:t>書為准</w:t>
      </w:r>
      <w:r>
        <w:rPr>
          <w:rFonts w:ascii="SimSun" w:hAnsi="SimSun" w:eastAsia="SimSun" w:cs="SimSun"/>
          <w:sz w:val="18"/>
          <w:szCs w:val="18"/>
          <w:spacing w:val="-1"/>
        </w:rPr>
        <w:t>。</w:t>
      </w:r>
    </w:p>
    <w:p>
      <w:pPr>
        <w:spacing w:line="185" w:lineRule="auto"/>
        <w:sectPr>
          <w:footerReference w:type="default" r:id="rId5"/>
          <w:pgSz w:w="11907" w:h="16839"/>
          <w:pgMar w:top="1431" w:right="1696" w:bottom="1371" w:left="1699" w:header="0" w:footer="1209" w:gutter="0"/>
        </w:sectPr>
        <w:rPr>
          <w:rFonts w:ascii="SimSun" w:hAnsi="SimSun" w:eastAsia="SimSun" w:cs="SimSun"/>
          <w:sz w:val="18"/>
          <w:szCs w:val="18"/>
        </w:rPr>
      </w:pPr>
    </w:p>
    <w:p>
      <w:pPr>
        <w:pStyle w:val="BodyText"/>
        <w:ind w:left="23"/>
        <w:spacing w:before="179" w:line="186" w:lineRule="auto"/>
        <w:outlineLvl w:val="1"/>
        <w:rPr/>
      </w:pPr>
      <w:r>
        <w:rPr>
          <w:b/>
          <w:bCs/>
          <w:spacing w:val="-1"/>
        </w:rPr>
        <w:t>三、報考條件</w:t>
      </w:r>
    </w:p>
    <w:p>
      <w:pPr>
        <w:pStyle w:val="BodyText"/>
        <w:ind w:left="23" w:right="26" w:firstLine="591"/>
        <w:spacing w:before="260" w:line="304" w:lineRule="auto"/>
        <w:rPr/>
      </w:pPr>
      <w:r>
        <w:rPr>
          <w:rFonts w:ascii="FangSong" w:hAnsi="FangSong" w:eastAsia="FangSong" w:cs="FangSong"/>
          <w:spacing w:val="-14"/>
        </w:rPr>
        <w:t>1.</w:t>
      </w:r>
      <w:r>
        <w:rPr>
          <w:spacing w:val="-14"/>
        </w:rPr>
        <w:t>具有有效的澳門居民身份證和《港澳居民往來內地通行證》（或</w:t>
      </w:r>
      <w:r>
        <w:rPr/>
        <w:t xml:space="preserve"> </w:t>
      </w:r>
      <w:r>
        <w:rPr/>
        <w:t>港澳居民居住證）的澳門高中畢業生；</w:t>
      </w:r>
    </w:p>
    <w:p>
      <w:pPr>
        <w:pStyle w:val="BodyText"/>
        <w:ind w:left="18" w:right="17" w:firstLine="588"/>
        <w:spacing w:before="34" w:line="308" w:lineRule="auto"/>
        <w:rPr/>
      </w:pPr>
      <w:r>
        <w:rPr>
          <w:rFonts w:ascii="FangSong" w:hAnsi="FangSong" w:eastAsia="FangSong" w:cs="FangSong"/>
          <w:spacing w:val="-2"/>
        </w:rPr>
        <w:t>2.</w:t>
      </w:r>
      <w:r>
        <w:rPr>
          <w:spacing w:val="-2"/>
        </w:rPr>
        <w:t>參加</w:t>
      </w:r>
      <w:r>
        <w:rPr>
          <w:spacing w:val="41"/>
        </w:rPr>
        <w:t xml:space="preserve"> </w:t>
      </w:r>
      <w:r>
        <w:rPr>
          <w:rFonts w:ascii="FangSong" w:hAnsi="FangSong" w:eastAsia="FangSong" w:cs="FangSong"/>
          <w:spacing w:val="-2"/>
        </w:rPr>
        <w:t>2024</w:t>
      </w:r>
      <w:r>
        <w:rPr>
          <w:rFonts w:ascii="FangSong" w:hAnsi="FangSong" w:eastAsia="FangSong" w:cs="FangSong"/>
          <w:spacing w:val="-48"/>
        </w:rPr>
        <w:t xml:space="preserve"> </w:t>
      </w:r>
      <w:r>
        <w:rPr>
          <w:spacing w:val="-2"/>
        </w:rPr>
        <w:t>年澳門“四校聯考”，且中文、英文、數學正卷三</w:t>
      </w:r>
      <w:r>
        <w:rPr/>
        <w:t xml:space="preserve"> </w:t>
      </w:r>
      <w:r>
        <w:rPr>
          <w:spacing w:val="-1"/>
        </w:rPr>
        <w:t>科單科成績均達 </w:t>
      </w:r>
      <w:r>
        <w:rPr>
          <w:rFonts w:ascii="FangSong" w:hAnsi="FangSong" w:eastAsia="FangSong" w:cs="FangSong"/>
          <w:spacing w:val="-1"/>
        </w:rPr>
        <w:t>700</w:t>
      </w:r>
      <w:r>
        <w:rPr>
          <w:rFonts w:ascii="FangSong" w:hAnsi="FangSong" w:eastAsia="FangSong" w:cs="FangSong"/>
          <w:spacing w:val="-50"/>
        </w:rPr>
        <w:t xml:space="preserve"> </w:t>
      </w:r>
      <w:r>
        <w:rPr>
          <w:spacing w:val="-1"/>
        </w:rPr>
        <w:t>分（含）以上；</w:t>
      </w:r>
    </w:p>
    <w:p>
      <w:pPr>
        <w:pStyle w:val="BodyText"/>
        <w:ind w:left="618"/>
        <w:spacing w:before="13" w:line="185" w:lineRule="auto"/>
        <w:rPr/>
      </w:pPr>
      <w:r>
        <w:rPr>
          <w:rFonts w:ascii="FangSong" w:hAnsi="FangSong" w:eastAsia="FangSong" w:cs="FangSong"/>
          <w:spacing w:val="-5"/>
        </w:rPr>
        <w:t>3.</w:t>
      </w:r>
      <w:r>
        <w:rPr>
          <w:spacing w:val="-5"/>
        </w:rPr>
        <w:t>品行端正，無犯罪記錄 ，身體健康。</w:t>
      </w:r>
    </w:p>
    <w:p>
      <w:pPr>
        <w:pStyle w:val="BodyText"/>
        <w:ind w:left="40"/>
        <w:spacing w:before="244" w:line="186" w:lineRule="auto"/>
        <w:outlineLvl w:val="1"/>
        <w:rPr/>
      </w:pPr>
      <w:r>
        <w:rPr>
          <w:b/>
          <w:bCs/>
          <w:spacing w:val="-3"/>
        </w:rPr>
        <w:t>四、報名時間</w:t>
      </w:r>
    </w:p>
    <w:p>
      <w:pPr>
        <w:pStyle w:val="BodyText"/>
        <w:ind w:left="595"/>
        <w:spacing w:before="261" w:line="185" w:lineRule="auto"/>
        <w:rPr/>
      </w:pPr>
      <w:r>
        <w:rPr>
          <w:rFonts w:ascii="FangSong" w:hAnsi="FangSong" w:eastAsia="FangSong" w:cs="FangSong"/>
          <w:spacing w:val="-8"/>
        </w:rPr>
        <w:t>2024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-8"/>
        </w:rPr>
        <w:t>年 </w:t>
      </w:r>
      <w:r>
        <w:rPr>
          <w:rFonts w:ascii="FangSong" w:hAnsi="FangSong" w:eastAsia="FangSong" w:cs="FangSong"/>
          <w:spacing w:val="-8"/>
        </w:rPr>
        <w:t>6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-8"/>
        </w:rPr>
        <w:t>月</w:t>
      </w:r>
      <w:r>
        <w:rPr>
          <w:spacing w:val="13"/>
        </w:rPr>
        <w:t xml:space="preserve"> </w:t>
      </w:r>
      <w:r>
        <w:rPr>
          <w:rFonts w:ascii="FangSong" w:hAnsi="FangSong" w:eastAsia="FangSong" w:cs="FangSong"/>
          <w:spacing w:val="-8"/>
        </w:rPr>
        <w:t>1-12</w:t>
      </w:r>
      <w:r>
        <w:rPr>
          <w:rFonts w:ascii="FangSong" w:hAnsi="FangSong" w:eastAsia="FangSong" w:cs="FangSong"/>
          <w:spacing w:val="-8"/>
        </w:rPr>
        <w:t xml:space="preserve"> </w:t>
      </w:r>
      <w:r>
        <w:rPr>
          <w:spacing w:val="-8"/>
        </w:rPr>
        <w:t>日</w:t>
      </w:r>
    </w:p>
    <w:p>
      <w:pPr>
        <w:pStyle w:val="BodyText"/>
        <w:ind w:left="23"/>
        <w:spacing w:before="245" w:line="185" w:lineRule="auto"/>
        <w:outlineLvl w:val="1"/>
        <w:rPr/>
      </w:pPr>
      <w:r>
        <w:rPr>
          <w:b/>
          <w:bCs/>
          <w:spacing w:val="-1"/>
        </w:rPr>
        <w:t>五、</w:t>
      </w:r>
      <w:r>
        <w:rPr>
          <w:b/>
          <w:bCs/>
          <w:color w:val="333333"/>
          <w:spacing w:val="-1"/>
        </w:rPr>
        <w:t>報名方式</w:t>
      </w:r>
    </w:p>
    <w:p>
      <w:pPr>
        <w:pStyle w:val="BodyText"/>
        <w:ind w:right="15"/>
        <w:spacing w:before="252" w:line="177" w:lineRule="auto"/>
        <w:jc w:val="right"/>
        <w:rPr/>
      </w:pPr>
      <w:hyperlink w:history="true" r:id="rId7">
        <w:r>
          <w:rPr/>
          <w:t>在報名期間將以下材料電子版發送至</w:t>
        </w:r>
        <w:r>
          <w:rPr>
            <w:spacing w:val="60"/>
          </w:rPr>
          <w:t xml:space="preserve"> </w:t>
        </w:r>
        <w:r>
          <w:rPr>
            <w:rFonts w:ascii="Arial" w:hAnsi="Arial" w:eastAsia="Arial" w:cs="Arial"/>
          </w:rPr>
          <w:t>zhaos</w:t>
        </w:r>
        <w:r>
          <w:rPr>
            <w:rFonts w:ascii="Arial" w:hAnsi="Arial" w:eastAsia="Arial" w:cs="Arial"/>
            <w:spacing w:val="-1"/>
          </w:rPr>
          <w:t>b@gzhu.edu.cn</w:t>
        </w:r>
        <w:r>
          <w:rPr>
            <w:rFonts w:ascii="Arial" w:hAnsi="Arial" w:eastAsia="Arial" w:cs="Arial"/>
            <w:spacing w:val="67"/>
            <w:w w:val="101"/>
          </w:rPr>
          <w:t xml:space="preserve"> </w:t>
        </w:r>
        <w:r>
          <w:rPr>
            <w:spacing w:val="-1"/>
          </w:rPr>
          <w:t>廣</w:t>
        </w:r>
      </w:hyperlink>
    </w:p>
    <w:p>
      <w:pPr>
        <w:pStyle w:val="BodyText"/>
        <w:ind w:left="31"/>
        <w:spacing w:before="270" w:line="186" w:lineRule="auto"/>
        <w:rPr/>
      </w:pPr>
      <w:r>
        <w:rPr/>
        <w:t>州</w:t>
      </w:r>
      <w:r>
        <w:rPr>
          <w:color w:val="333333"/>
        </w:rPr>
        <w:t>大學招生辦郵箱：</w:t>
      </w:r>
    </w:p>
    <w:p>
      <w:pPr>
        <w:pStyle w:val="BodyText"/>
        <w:ind w:left="590" w:firstLine="6"/>
        <w:spacing w:before="264" w:line="308" w:lineRule="auto"/>
        <w:rPr/>
      </w:pPr>
      <w:r>
        <w:rPr>
          <w:rFonts w:ascii="FangSong" w:hAnsi="FangSong" w:eastAsia="FangSong" w:cs="FangSong"/>
          <w:color w:val="333333"/>
          <w:spacing w:val="-12"/>
        </w:rPr>
        <w:t>1.</w:t>
      </w:r>
      <w:r>
        <w:rPr>
          <w:color w:val="333333"/>
          <w:spacing w:val="-12"/>
        </w:rPr>
        <w:t>《廣州大學 </w:t>
      </w:r>
      <w:r>
        <w:rPr>
          <w:rFonts w:ascii="FangSong" w:hAnsi="FangSong" w:eastAsia="FangSong" w:cs="FangSong"/>
          <w:color w:val="333333"/>
          <w:spacing w:val="-12"/>
        </w:rPr>
        <w:t>2024</w:t>
      </w:r>
      <w:r>
        <w:rPr>
          <w:rFonts w:ascii="FangSong" w:hAnsi="FangSong" w:eastAsia="FangSong" w:cs="FangSong"/>
          <w:color w:val="333333"/>
          <w:spacing w:val="-67"/>
        </w:rPr>
        <w:t xml:space="preserve"> </w:t>
      </w:r>
      <w:r>
        <w:rPr>
          <w:color w:val="333333"/>
          <w:spacing w:val="-12"/>
        </w:rPr>
        <w:t>年澳門“四校聯考”入學申請表》（附件 </w:t>
      </w:r>
      <w:r>
        <w:rPr>
          <w:rFonts w:ascii="FangSong" w:hAnsi="FangSong" w:eastAsia="FangSong" w:cs="FangSong"/>
          <w:color w:val="333333"/>
          <w:spacing w:val="-12"/>
        </w:rPr>
        <w:t>1</w:t>
      </w:r>
      <w:r>
        <w:rPr>
          <w:color w:val="333333"/>
          <w:spacing w:val="-46"/>
        </w:rPr>
        <w:t>）；</w:t>
      </w:r>
      <w:r>
        <w:rPr>
          <w:color w:val="333333"/>
        </w:rPr>
        <w:t xml:space="preserve"> </w:t>
      </w:r>
      <w:r>
        <w:rPr>
          <w:rFonts w:ascii="FangSong" w:hAnsi="FangSong" w:eastAsia="FangSong" w:cs="FangSong"/>
          <w:color w:val="333333"/>
          <w:spacing w:val="-1"/>
        </w:rPr>
        <w:t>2.</w:t>
      </w:r>
      <w:r>
        <w:rPr>
          <w:color w:val="333333"/>
          <w:spacing w:val="-1"/>
        </w:rPr>
        <w:t>推薦人意見（推薦人一般應為考生所在中學負責人</w:t>
      </w:r>
      <w:r>
        <w:rPr>
          <w:color w:val="333333"/>
          <w:spacing w:val="9"/>
        </w:rPr>
        <w:t>）；</w:t>
      </w:r>
    </w:p>
    <w:p>
      <w:pPr>
        <w:pStyle w:val="BodyText"/>
        <w:ind w:left="589" w:right="3202" w:firstLine="12"/>
        <w:spacing w:before="12" w:line="311" w:lineRule="auto"/>
        <w:rPr/>
      </w:pPr>
      <w:r>
        <w:rPr>
          <w:rFonts w:ascii="FangSong" w:hAnsi="FangSong" w:eastAsia="FangSong" w:cs="FangSong"/>
          <w:color w:val="333333"/>
          <w:spacing w:val="-6"/>
        </w:rPr>
        <w:t>3.2024</w:t>
      </w:r>
      <w:r>
        <w:rPr>
          <w:rFonts w:ascii="FangSong" w:hAnsi="FangSong" w:eastAsia="FangSong" w:cs="FangSong"/>
          <w:color w:val="333333"/>
          <w:spacing w:val="-46"/>
        </w:rPr>
        <w:t xml:space="preserve"> </w:t>
      </w:r>
      <w:r>
        <w:rPr>
          <w:color w:val="333333"/>
          <w:spacing w:val="-6"/>
        </w:rPr>
        <w:t>年澳門“四校聯考”成績單 ；</w:t>
      </w:r>
      <w:r>
        <w:rPr>
          <w:color w:val="333333"/>
        </w:rPr>
        <w:t xml:space="preserve"> </w:t>
      </w:r>
      <w:r>
        <w:rPr>
          <w:rFonts w:ascii="FangSong" w:hAnsi="FangSong" w:eastAsia="FangSong" w:cs="FangSong"/>
          <w:color w:val="333333"/>
          <w:spacing w:val="-4"/>
        </w:rPr>
        <w:t>4.</w:t>
      </w:r>
      <w:r>
        <w:rPr>
          <w:color w:val="333333"/>
          <w:spacing w:val="-4"/>
        </w:rPr>
        <w:t>高中</w:t>
      </w:r>
      <w:r>
        <w:rPr>
          <w:color w:val="333333"/>
          <w:spacing w:val="29"/>
          <w:w w:val="101"/>
        </w:rPr>
        <w:t xml:space="preserve"> </w:t>
      </w:r>
      <w:r>
        <w:rPr>
          <w:rFonts w:ascii="FangSong" w:hAnsi="FangSong" w:eastAsia="FangSong" w:cs="FangSong"/>
          <w:color w:val="333333"/>
          <w:spacing w:val="-4"/>
        </w:rPr>
        <w:t>3</w:t>
      </w:r>
      <w:r>
        <w:rPr>
          <w:rFonts w:ascii="FangSong" w:hAnsi="FangSong" w:eastAsia="FangSong" w:cs="FangSong"/>
          <w:color w:val="333333"/>
          <w:spacing w:val="-68"/>
        </w:rPr>
        <w:t xml:space="preserve"> </w:t>
      </w:r>
      <w:r>
        <w:rPr>
          <w:color w:val="333333"/>
          <w:spacing w:val="-4"/>
        </w:rPr>
        <w:t>年學業成績表；</w:t>
      </w:r>
    </w:p>
    <w:p>
      <w:pPr>
        <w:pStyle w:val="BodyText"/>
        <w:ind w:left="49" w:right="24" w:firstLine="544"/>
        <w:spacing w:before="4" w:line="306" w:lineRule="auto"/>
        <w:rPr/>
      </w:pPr>
      <w:r>
        <w:rPr>
          <w:rFonts w:ascii="FangSong" w:hAnsi="FangSong" w:eastAsia="FangSong" w:cs="FangSong"/>
          <w:color w:val="333333"/>
          <w:spacing w:val="-4"/>
        </w:rPr>
        <w:t>5.</w:t>
      </w:r>
      <w:r>
        <w:rPr>
          <w:color w:val="333333"/>
          <w:spacing w:val="-4"/>
        </w:rPr>
        <w:t>澳門居民身份證和《港澳居民往來內地通行證》，或《港</w:t>
      </w:r>
      <w:r>
        <w:rPr>
          <w:color w:val="333333"/>
          <w:spacing w:val="-5"/>
        </w:rPr>
        <w:t>澳居</w:t>
      </w:r>
      <w:r>
        <w:rPr>
          <w:color w:val="333333"/>
        </w:rPr>
        <w:t xml:space="preserve"> </w:t>
      </w:r>
      <w:r>
        <w:rPr>
          <w:color w:val="333333"/>
          <w:spacing w:val="-3"/>
        </w:rPr>
        <w:t>民居住證》；</w:t>
      </w:r>
    </w:p>
    <w:p>
      <w:pPr>
        <w:pStyle w:val="BodyText"/>
        <w:ind w:left="18" w:right="28" w:firstLine="574"/>
        <w:spacing w:before="25" w:line="308" w:lineRule="auto"/>
        <w:rPr/>
      </w:pPr>
      <w:r>
        <w:rPr>
          <w:rFonts w:ascii="FangSong" w:hAnsi="FangSong" w:eastAsia="FangSong" w:cs="FangSong"/>
          <w:color w:val="333333"/>
          <w:spacing w:val="-4"/>
        </w:rPr>
        <w:t>6.</w:t>
      </w:r>
      <w:r>
        <w:rPr>
          <w:color w:val="333333"/>
          <w:spacing w:val="-4"/>
        </w:rPr>
        <w:t>“澳門四高校聯合入學考試（語言科及數學科）”</w:t>
      </w:r>
      <w:r>
        <w:rPr>
          <w:color w:val="333333"/>
          <w:spacing w:val="-5"/>
        </w:rPr>
        <w:t>聲明書（附</w:t>
      </w:r>
      <w:r>
        <w:rPr>
          <w:color w:val="333333"/>
        </w:rPr>
        <w:t xml:space="preserve"> </w:t>
      </w:r>
      <w:r>
        <w:rPr>
          <w:color w:val="333333"/>
          <w:spacing w:val="-8"/>
        </w:rPr>
        <w:t>件 </w:t>
      </w:r>
      <w:r>
        <w:rPr>
          <w:rFonts w:ascii="FangSong" w:hAnsi="FangSong" w:eastAsia="FangSong" w:cs="FangSong"/>
          <w:color w:val="333333"/>
          <w:spacing w:val="-8"/>
        </w:rPr>
        <w:t>2</w:t>
      </w:r>
      <w:r>
        <w:rPr>
          <w:rFonts w:ascii="FangSong" w:hAnsi="FangSong" w:eastAsia="FangSong" w:cs="FangSong"/>
          <w:color w:val="333333"/>
          <w:spacing w:val="-62"/>
        </w:rPr>
        <w:t xml:space="preserve"> </w:t>
      </w:r>
      <w:r>
        <w:rPr>
          <w:color w:val="333333"/>
          <w:spacing w:val="-8"/>
        </w:rPr>
        <w:t>，下載打印並親筆簽名</w:t>
      </w:r>
      <w:r>
        <w:rPr>
          <w:color w:val="333333"/>
          <w:spacing w:val="5"/>
        </w:rPr>
        <w:t>）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5"/>
        </w:rPr>
        <w:t>；</w:t>
      </w:r>
    </w:p>
    <w:p>
      <w:pPr>
        <w:pStyle w:val="BodyText"/>
        <w:ind w:left="23" w:right="17" w:firstLine="569"/>
        <w:spacing w:before="12" w:line="306" w:lineRule="auto"/>
        <w:rPr/>
      </w:pPr>
      <w:r>
        <w:rPr>
          <w:rFonts w:ascii="FangSong" w:hAnsi="FangSong" w:eastAsia="FangSong" w:cs="FangSong"/>
          <w:color w:val="333333"/>
          <w:spacing w:val="-6"/>
        </w:rPr>
        <w:t>7.</w:t>
      </w:r>
      <w:r>
        <w:rPr>
          <w:color w:val="333333"/>
          <w:spacing w:val="-6"/>
        </w:rPr>
        <w:t>中學階段課外活動、社會實踐和個人興趣特長</w:t>
      </w:r>
      <w:r>
        <w:rPr>
          <w:color w:val="333333"/>
          <w:spacing w:val="-19"/>
        </w:rPr>
        <w:t xml:space="preserve"> </w:t>
      </w:r>
      <w:r>
        <w:rPr>
          <w:color w:val="333333"/>
          <w:spacing w:val="-6"/>
        </w:rPr>
        <w:t>，附獲獎證書影</w:t>
      </w:r>
      <w:r>
        <w:rPr>
          <w:color w:val="333333"/>
        </w:rPr>
        <w:t xml:space="preserve"> </w:t>
      </w:r>
      <w:r>
        <w:rPr>
          <w:color w:val="333333"/>
          <w:spacing w:val="2"/>
        </w:rPr>
        <w:t>印本和其他相關證明材料。</w:t>
      </w:r>
    </w:p>
    <w:p>
      <w:pPr>
        <w:pStyle w:val="BodyText"/>
        <w:ind w:right="19"/>
        <w:spacing w:before="23" w:line="181" w:lineRule="auto"/>
        <w:jc w:val="right"/>
        <w:rPr/>
      </w:pPr>
      <w:r>
        <w:rPr>
          <w:color w:val="333333"/>
          <w:spacing w:val="-3"/>
        </w:rPr>
        <w:t>（以上所有材料請按順序依次掃描存檔為 </w:t>
      </w:r>
      <w:r>
        <w:rPr>
          <w:rFonts w:ascii="FangSong" w:hAnsi="FangSong" w:eastAsia="FangSong" w:cs="FangSong"/>
          <w:color w:val="333333"/>
          <w:spacing w:val="-3"/>
        </w:rPr>
        <w:t>P</w:t>
      </w:r>
      <w:r>
        <w:rPr>
          <w:rFonts w:ascii="FangSong" w:hAnsi="FangSong" w:eastAsia="FangSong" w:cs="FangSong"/>
          <w:color w:val="333333"/>
          <w:spacing w:val="-4"/>
        </w:rPr>
        <w:t>DF</w:t>
      </w:r>
      <w:r>
        <w:rPr>
          <w:rFonts w:ascii="FangSong" w:hAnsi="FangSong" w:eastAsia="FangSong" w:cs="FangSong"/>
          <w:color w:val="333333"/>
          <w:spacing w:val="-67"/>
        </w:rPr>
        <w:t xml:space="preserve"> </w:t>
      </w:r>
      <w:r>
        <w:rPr>
          <w:color w:val="333333"/>
          <w:spacing w:val="-4"/>
        </w:rPr>
        <w:t>格式文檔，命名為</w:t>
      </w:r>
    </w:p>
    <w:p>
      <w:pPr>
        <w:spacing w:line="181" w:lineRule="auto"/>
        <w:sectPr>
          <w:footerReference w:type="default" r:id="rId6"/>
          <w:pgSz w:w="11907" w:h="16839"/>
          <w:pgMar w:top="1431" w:right="1778" w:bottom="1373" w:left="1785" w:header="0" w:footer="1209" w:gutter="0"/>
        </w:sectPr>
        <w:rPr/>
      </w:pPr>
    </w:p>
    <w:p>
      <w:pPr>
        <w:pStyle w:val="BodyText"/>
        <w:ind w:left="54"/>
        <w:spacing w:before="172" w:line="189" w:lineRule="auto"/>
        <w:rPr/>
      </w:pPr>
      <w:r>
        <w:rPr>
          <w:color w:val="333333"/>
          <w:spacing w:val="-3"/>
        </w:rPr>
        <w:t>“澳門四校聯考</w:t>
      </w:r>
      <w:r>
        <w:rPr>
          <w:rFonts w:ascii="FangSong" w:hAnsi="FangSong" w:eastAsia="FangSong" w:cs="FangSong"/>
          <w:color w:val="333333"/>
          <w:spacing w:val="-3"/>
        </w:rPr>
        <w:t>+</w:t>
      </w:r>
      <w:r>
        <w:rPr>
          <w:color w:val="333333"/>
          <w:spacing w:val="-3"/>
        </w:rPr>
        <w:t>考生姓名”）</w:t>
      </w:r>
    </w:p>
    <w:p>
      <w:pPr>
        <w:pStyle w:val="BodyText"/>
        <w:ind w:left="34"/>
        <w:spacing w:before="246" w:line="192" w:lineRule="auto"/>
        <w:outlineLvl w:val="1"/>
        <w:rPr/>
      </w:pPr>
      <w:r>
        <w:rPr>
          <w:rFonts w:ascii="SimHei" w:hAnsi="SimHei" w:eastAsia="SimHei" w:cs="SimHei"/>
          <w:b/>
          <w:bCs/>
          <w:color w:val="333333"/>
          <w:spacing w:val="-5"/>
        </w:rPr>
        <w:t>六、</w:t>
      </w:r>
      <w:r>
        <w:rPr>
          <w:rFonts w:ascii="SimHei" w:hAnsi="SimHei" w:eastAsia="SimHei" w:cs="SimHei"/>
          <w:color w:val="333333"/>
          <w:spacing w:val="27"/>
        </w:rPr>
        <w:t xml:space="preserve"> </w:t>
      </w:r>
      <w:r>
        <w:rPr>
          <w:b/>
          <w:bCs/>
          <w:color w:val="333333"/>
          <w:spacing w:val="-5"/>
        </w:rPr>
        <w:t>錄取原則</w:t>
      </w:r>
    </w:p>
    <w:p>
      <w:pPr>
        <w:spacing w:line="273" w:lineRule="auto"/>
        <w:rPr>
          <w:rFonts w:ascii="Arial"/>
          <w:sz w:val="21"/>
        </w:rPr>
      </w:pPr>
      <w:r/>
    </w:p>
    <w:p>
      <w:pPr>
        <w:pStyle w:val="BodyText"/>
        <w:ind w:left="18" w:right="279" w:firstLine="566"/>
        <w:spacing w:before="120" w:line="311" w:lineRule="auto"/>
        <w:rPr/>
      </w:pPr>
      <w:r>
        <w:rPr/>
        <w:t>我校將綜合考生的澳門“四校聯考”成績和考生綜合</w:t>
      </w:r>
      <w:r>
        <w:rPr>
          <w:spacing w:val="-1"/>
        </w:rPr>
        <w:t>情況擇優</w:t>
      </w:r>
      <w:r>
        <w:rPr/>
        <w:t xml:space="preserve">   </w:t>
      </w:r>
      <w:r>
        <w:rPr>
          <w:spacing w:val="-3"/>
        </w:rPr>
        <w:t>錄取。錄取名單將在報名結束後兩周內于“廣</w:t>
      </w:r>
      <w:r>
        <w:rPr>
          <w:spacing w:val="-4"/>
        </w:rPr>
        <w:t>州大學本科招生網”進</w:t>
      </w:r>
      <w:r>
        <w:rPr/>
        <w:t xml:space="preserve"> </w:t>
      </w:r>
      <w:r>
        <w:rPr>
          <w:spacing w:val="1"/>
        </w:rPr>
        <w:t>行公示，公示無異議後將以郵件的方式通知被錄取的</w:t>
      </w:r>
      <w:r>
        <w:rPr/>
        <w:t>考生。</w:t>
      </w:r>
    </w:p>
    <w:p>
      <w:pPr>
        <w:pStyle w:val="BodyText"/>
        <w:ind w:left="23"/>
        <w:spacing w:before="154" w:line="186" w:lineRule="auto"/>
        <w:outlineLvl w:val="1"/>
        <w:rPr/>
      </w:pPr>
      <w:r>
        <w:rPr>
          <w:b/>
          <w:bCs/>
          <w:color w:val="333333"/>
        </w:rPr>
        <w:t>七、收費</w:t>
      </w:r>
    </w:p>
    <w:p>
      <w:pPr>
        <w:spacing w:line="277" w:lineRule="auto"/>
        <w:rPr>
          <w:rFonts w:ascii="Arial"/>
          <w:sz w:val="21"/>
        </w:rPr>
      </w:pPr>
      <w:r/>
    </w:p>
    <w:p>
      <w:pPr>
        <w:pStyle w:val="BodyText"/>
        <w:ind w:left="10" w:firstLine="567"/>
        <w:spacing w:before="121" w:line="311" w:lineRule="auto"/>
        <w:rPr/>
      </w:pPr>
      <w:r>
        <w:rPr>
          <w:color w:val="333333"/>
          <w:spacing w:val="-4"/>
        </w:rPr>
        <w:t>學校收費標準按《關於進一步規範我省高等學校收費管理的通知》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（粵價</w:t>
      </w:r>
      <w:r>
        <w:rPr>
          <w:rFonts w:ascii="FangSong" w:hAnsi="FangSong" w:eastAsia="FangSong" w:cs="FangSong"/>
          <w:color w:val="333333"/>
        </w:rPr>
        <w:t>[2007]186</w:t>
      </w:r>
      <w:r>
        <w:rPr>
          <w:color w:val="333333"/>
        </w:rPr>
        <w:t>號）、《關於調整公辦普通高校學</w:t>
      </w:r>
      <w:r>
        <w:rPr>
          <w:color w:val="333333"/>
          <w:spacing w:val="-1"/>
        </w:rPr>
        <w:t>費的通知》 </w:t>
      </w:r>
      <w:r>
        <w:rPr>
          <w:rFonts w:ascii="FangSong" w:hAnsi="FangSong" w:eastAsia="FangSong" w:cs="FangSong"/>
          <w:color w:val="333333"/>
          <w:spacing w:val="-1"/>
        </w:rPr>
        <w:t>(</w:t>
      </w:r>
      <w:r>
        <w:rPr>
          <w:color w:val="333333"/>
          <w:spacing w:val="-1"/>
        </w:rPr>
        <w:t>粵</w:t>
      </w:r>
      <w:r>
        <w:rPr>
          <w:color w:val="333333"/>
        </w:rPr>
        <w:t xml:space="preserve">     </w:t>
      </w:r>
      <w:r>
        <w:rPr>
          <w:color w:val="333333"/>
        </w:rPr>
        <w:t>發改價格</w:t>
      </w:r>
      <w:r>
        <w:rPr>
          <w:rFonts w:ascii="FangSong" w:hAnsi="FangSong" w:eastAsia="FangSong" w:cs="FangSong"/>
          <w:color w:val="333333"/>
        </w:rPr>
        <w:t>[2016]367</w:t>
      </w:r>
      <w:r>
        <w:rPr>
          <w:rFonts w:ascii="FangSong" w:hAnsi="FangSong" w:eastAsia="FangSong" w:cs="FangSong"/>
          <w:color w:val="333333"/>
          <w:spacing w:val="-62"/>
        </w:rPr>
        <w:t xml:space="preserve"> </w:t>
      </w:r>
      <w:r>
        <w:rPr>
          <w:color w:val="333333"/>
        </w:rPr>
        <w:t>號</w:t>
      </w:r>
      <w:r>
        <w:rPr>
          <w:rFonts w:ascii="FangSong" w:hAnsi="FangSong" w:eastAsia="FangSong" w:cs="FangSong"/>
          <w:color w:val="333333"/>
        </w:rPr>
        <w:t>)</w:t>
      </w:r>
      <w:r>
        <w:rPr>
          <w:color w:val="333333"/>
        </w:rPr>
        <w:t>和《廣東省發展改</w:t>
      </w:r>
      <w:r>
        <w:rPr>
          <w:color w:val="333333"/>
          <w:spacing w:val="-1"/>
        </w:rPr>
        <w:t>革委</w:t>
      </w:r>
      <w:r>
        <w:rPr>
          <w:color w:val="333333"/>
          <w:spacing w:val="61"/>
        </w:rPr>
        <w:t xml:space="preserve"> </w:t>
      </w:r>
      <w:r>
        <w:rPr>
          <w:color w:val="333333"/>
          <w:spacing w:val="-1"/>
        </w:rPr>
        <w:t>廣東省教育廳</w:t>
      </w:r>
      <w:r>
        <w:rPr>
          <w:color w:val="333333"/>
          <w:spacing w:val="63"/>
        </w:rPr>
        <w:t xml:space="preserve"> </w:t>
      </w:r>
      <w:r>
        <w:rPr>
          <w:color w:val="333333"/>
          <w:spacing w:val="-1"/>
        </w:rPr>
        <w:t>廣東</w:t>
      </w:r>
      <w:r>
        <w:rPr>
          <w:color w:val="333333"/>
        </w:rPr>
        <w:t xml:space="preserve">     </w:t>
      </w:r>
      <w:r>
        <w:rPr>
          <w:color w:val="333333"/>
          <w:spacing w:val="2"/>
        </w:rPr>
        <w:t>省財政廳關於印發《廣東省普通高等學校學</w:t>
      </w:r>
      <w:r>
        <w:rPr>
          <w:color w:val="333333"/>
          <w:spacing w:val="1"/>
        </w:rPr>
        <w:t>制收費管理辦法</w:t>
      </w:r>
      <w:r>
        <w:rPr>
          <w:rFonts w:ascii="FangSong" w:hAnsi="FangSong" w:eastAsia="FangSong" w:cs="FangSong"/>
          <w:color w:val="333333"/>
          <w:spacing w:val="1"/>
        </w:rPr>
        <w:t>(2021</w:t>
      </w:r>
      <w:r>
        <w:rPr>
          <w:color w:val="333333"/>
          <w:spacing w:val="1"/>
        </w:rPr>
        <w:t>年</w:t>
      </w:r>
      <w:r>
        <w:rPr>
          <w:color w:val="333333"/>
        </w:rPr>
        <w:t xml:space="preserve">    </w:t>
      </w:r>
      <w:r>
        <w:rPr>
          <w:color w:val="333333"/>
          <w:spacing w:val="-2"/>
        </w:rPr>
        <w:t>修訂</w:t>
      </w:r>
      <w:r>
        <w:rPr>
          <w:rFonts w:ascii="FangSong" w:hAnsi="FangSong" w:eastAsia="FangSong" w:cs="FangSong"/>
          <w:color w:val="333333"/>
          <w:spacing w:val="-2"/>
        </w:rPr>
        <w:t>)&gt;</w:t>
      </w:r>
      <w:r>
        <w:rPr>
          <w:color w:val="333333"/>
          <w:spacing w:val="-2"/>
        </w:rPr>
        <w:t>的通知》 </w:t>
      </w:r>
      <w:r>
        <w:rPr>
          <w:rFonts w:ascii="FangSong" w:hAnsi="FangSong" w:eastAsia="FangSong" w:cs="FangSong"/>
          <w:color w:val="333333"/>
          <w:spacing w:val="-2"/>
        </w:rPr>
        <w:t>(</w:t>
      </w:r>
      <w:r>
        <w:rPr>
          <w:color w:val="333333"/>
          <w:spacing w:val="-2"/>
        </w:rPr>
        <w:t>粵發改規</w:t>
      </w:r>
      <w:r>
        <w:rPr>
          <w:rFonts w:ascii="FangSong" w:hAnsi="FangSong" w:eastAsia="FangSong" w:cs="FangSong"/>
          <w:color w:val="333333"/>
          <w:spacing w:val="-2"/>
        </w:rPr>
        <w:t>[2021]10</w:t>
      </w:r>
      <w:r>
        <w:rPr>
          <w:rFonts w:ascii="FangSong" w:hAnsi="FangSong" w:eastAsia="FangSong" w:cs="FangSong"/>
          <w:color w:val="333333"/>
          <w:spacing w:val="-52"/>
        </w:rPr>
        <w:t xml:space="preserve"> </w:t>
      </w:r>
      <w:r>
        <w:rPr>
          <w:color w:val="333333"/>
          <w:spacing w:val="-2"/>
        </w:rPr>
        <w:t>號</w:t>
      </w:r>
      <w:r>
        <w:rPr>
          <w:rFonts w:ascii="FangSong" w:hAnsi="FangSong" w:eastAsia="FangSong" w:cs="FangSong"/>
          <w:color w:val="333333"/>
          <w:spacing w:val="-2"/>
        </w:rPr>
        <w:t>)</w:t>
      </w:r>
      <w:r>
        <w:rPr>
          <w:color w:val="333333"/>
          <w:spacing w:val="-2"/>
        </w:rPr>
        <w:t>公佈的標準執行。</w:t>
      </w:r>
    </w:p>
    <w:p>
      <w:pPr>
        <w:pStyle w:val="BodyText"/>
        <w:ind w:left="36" w:right="327" w:firstLine="541"/>
        <w:spacing w:before="169" w:line="304" w:lineRule="auto"/>
        <w:rPr/>
      </w:pPr>
      <w:r>
        <w:rPr>
          <w:color w:val="333333"/>
          <w:spacing w:val="-1"/>
        </w:rPr>
        <w:t>住宿費為人民幣 </w:t>
      </w:r>
      <w:r>
        <w:rPr>
          <w:rFonts w:ascii="FangSong" w:hAnsi="FangSong" w:eastAsia="FangSong" w:cs="FangSong"/>
          <w:color w:val="333333"/>
          <w:spacing w:val="-1"/>
        </w:rPr>
        <w:t>1000</w:t>
      </w:r>
      <w:r>
        <w:rPr>
          <w:rFonts w:ascii="FangSong" w:hAnsi="FangSong" w:eastAsia="FangSong" w:cs="FangSong"/>
          <w:color w:val="333333"/>
          <w:spacing w:val="-60"/>
        </w:rPr>
        <w:t xml:space="preserve"> </w:t>
      </w:r>
      <w:r>
        <w:rPr>
          <w:color w:val="333333"/>
          <w:spacing w:val="-1"/>
        </w:rPr>
        <w:t>元，需繳納的學雜費收費</w:t>
      </w:r>
      <w:r>
        <w:rPr>
          <w:spacing w:val="-1"/>
        </w:rPr>
        <w:t>標準與內地（祖</w:t>
      </w:r>
      <w:r>
        <w:rPr/>
        <w:t xml:space="preserve"> </w:t>
      </w:r>
      <w:r>
        <w:rPr/>
        <w:t>國大陸）同校同專業學生相同。</w:t>
      </w:r>
    </w:p>
    <w:p>
      <w:pPr>
        <w:pStyle w:val="BodyText"/>
        <w:ind w:left="25"/>
        <w:spacing w:before="166" w:line="193" w:lineRule="auto"/>
        <w:outlineLvl w:val="1"/>
        <w:rPr/>
      </w:pPr>
      <w:r>
        <w:rPr>
          <w:rFonts w:ascii="SimHei" w:hAnsi="SimHei" w:eastAsia="SimHei" w:cs="SimHei"/>
          <w:b/>
          <w:bCs/>
          <w:color w:val="333333"/>
          <w:spacing w:val="-3"/>
        </w:rPr>
        <w:t>八、</w:t>
      </w:r>
      <w:r>
        <w:rPr>
          <w:rFonts w:ascii="SimHei" w:hAnsi="SimHei" w:eastAsia="SimHei" w:cs="SimHei"/>
          <w:color w:val="333333"/>
          <w:spacing w:val="28"/>
        </w:rPr>
        <w:t xml:space="preserve"> </w:t>
      </w:r>
      <w:r>
        <w:rPr>
          <w:b/>
          <w:bCs/>
          <w:color w:val="333333"/>
          <w:spacing w:val="-3"/>
        </w:rPr>
        <w:t>入學與體檢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18" w:right="277" w:firstLine="563"/>
        <w:spacing w:before="121" w:line="310" w:lineRule="auto"/>
        <w:rPr/>
      </w:pPr>
      <w:r>
        <w:rPr>
          <w:spacing w:val="-4"/>
        </w:rPr>
        <w:t>新生持加蓋廣州大學公章的《錄取通知書》報到，入學報到時間</w:t>
      </w:r>
      <w:r>
        <w:rPr>
          <w:spacing w:val="11"/>
        </w:rPr>
        <w:t xml:space="preserve"> </w:t>
      </w:r>
      <w:r>
        <w:rPr>
          <w:spacing w:val="1"/>
        </w:rPr>
        <w:t>及相關要求以《錄取通知書》上的規定為准。</w:t>
      </w:r>
    </w:p>
    <w:p>
      <w:pPr>
        <w:pStyle w:val="BodyText"/>
        <w:ind w:left="577"/>
        <w:spacing w:before="154" w:line="185" w:lineRule="auto"/>
        <w:rPr/>
      </w:pPr>
      <w:r>
        <w:rPr>
          <w:spacing w:val="-4"/>
        </w:rPr>
        <w:t>學生入學註冊時 ，應按照學校規定繳納學費和雜費 。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23" w:right="281" w:firstLine="559"/>
        <w:spacing w:before="120" w:line="311" w:lineRule="auto"/>
        <w:rPr/>
      </w:pPr>
      <w:r>
        <w:rPr>
          <w:spacing w:val="-4"/>
        </w:rPr>
        <w:t>新生入學後，根據學校安排進行身體檢查，不符合要求的，取消</w:t>
      </w:r>
      <w:r>
        <w:rPr>
          <w:spacing w:val="7"/>
        </w:rPr>
        <w:t xml:space="preserve"> </w:t>
      </w:r>
      <w:r>
        <w:rPr/>
        <w:t>其入學資格；僅專業受限者，可以商轉其他</w:t>
      </w:r>
      <w:r>
        <w:rPr>
          <w:spacing w:val="-1"/>
        </w:rPr>
        <w:t>不受限專業 。</w:t>
      </w:r>
    </w:p>
    <w:p>
      <w:pPr>
        <w:spacing w:line="311" w:lineRule="auto"/>
        <w:sectPr>
          <w:footerReference w:type="default" r:id="rId8"/>
          <w:pgSz w:w="11907" w:h="16839"/>
          <w:pgMar w:top="1431" w:right="1520" w:bottom="1371" w:left="1785" w:header="0" w:footer="1209" w:gutter="0"/>
        </w:sectPr>
        <w:rPr/>
      </w:pPr>
    </w:p>
    <w:p>
      <w:pPr>
        <w:pStyle w:val="BodyText"/>
        <w:ind w:left="18" w:right="138" w:firstLine="563"/>
        <w:spacing w:before="178" w:line="311" w:lineRule="auto"/>
        <w:rPr/>
      </w:pPr>
      <w:r>
        <w:rPr>
          <w:spacing w:val="-4"/>
        </w:rPr>
        <w:t>新生入學報到時，所持有出入境證件的有效期應與學習期限相適</w:t>
      </w:r>
      <w:r>
        <w:rPr>
          <w:spacing w:val="11"/>
        </w:rPr>
        <w:t xml:space="preserve"> </w:t>
      </w:r>
      <w:r>
        <w:rPr>
          <w:spacing w:val="-6"/>
        </w:rPr>
        <w:t>應 ，至少有效期一年。</w:t>
      </w:r>
    </w:p>
    <w:p>
      <w:pPr>
        <w:pStyle w:val="BodyText"/>
        <w:ind w:left="32"/>
        <w:spacing w:before="146" w:line="194" w:lineRule="auto"/>
        <w:outlineLvl w:val="1"/>
        <w:rPr/>
      </w:pPr>
      <w:r>
        <w:rPr>
          <w:rFonts w:ascii="SimHei" w:hAnsi="SimHei" w:eastAsia="SimHei" w:cs="SimHei"/>
          <w:b/>
          <w:bCs/>
          <w:spacing w:val="-7"/>
        </w:rPr>
        <w:t>九、</w:t>
      </w:r>
      <w:r>
        <w:rPr>
          <w:rFonts w:ascii="SimHei" w:hAnsi="SimHei" w:eastAsia="SimHei" w:cs="SimHei"/>
          <w:spacing w:val="28"/>
        </w:rPr>
        <w:t xml:space="preserve"> </w:t>
      </w:r>
      <w:r>
        <w:rPr>
          <w:b/>
          <w:bCs/>
          <w:color w:val="333333"/>
          <w:spacing w:val="-7"/>
        </w:rPr>
        <w:t>管理</w:t>
      </w:r>
    </w:p>
    <w:p>
      <w:pPr>
        <w:spacing w:line="274" w:lineRule="auto"/>
        <w:rPr>
          <w:rFonts w:ascii="Arial"/>
          <w:sz w:val="21"/>
        </w:rPr>
      </w:pPr>
      <w:r/>
    </w:p>
    <w:p>
      <w:pPr>
        <w:pStyle w:val="BodyText"/>
        <w:ind w:left="10" w:firstLine="567"/>
        <w:spacing w:before="120" w:line="311" w:lineRule="auto"/>
        <w:jc w:val="both"/>
        <w:rPr/>
      </w:pPr>
      <w:r>
        <w:rPr>
          <w:spacing w:val="-5"/>
        </w:rPr>
        <w:t>學生在校期間</w:t>
      </w:r>
      <w:r>
        <w:rPr>
          <w:spacing w:val="-31"/>
        </w:rPr>
        <w:t xml:space="preserve"> </w:t>
      </w:r>
      <w:r>
        <w:rPr>
          <w:spacing w:val="-5"/>
        </w:rPr>
        <w:t>，高校按教育部等六部門發佈的《普</w:t>
      </w:r>
      <w:r>
        <w:rPr>
          <w:spacing w:val="-6"/>
        </w:rPr>
        <w:t>通高等學校招</w:t>
      </w:r>
      <w:r>
        <w:rPr/>
        <w:t xml:space="preserve">  </w:t>
      </w:r>
      <w:r>
        <w:rPr>
          <w:spacing w:val="-1"/>
        </w:rPr>
        <w:t>收和培養香港特別行政區 、澳門特別行政區及臺灣地區學生的</w:t>
      </w:r>
      <w:r>
        <w:rPr>
          <w:spacing w:val="-2"/>
        </w:rPr>
        <w:t>規定》</w:t>
      </w:r>
      <w:r>
        <w:rPr/>
        <w:t xml:space="preserve"> </w:t>
      </w:r>
      <w:r>
        <w:rPr/>
        <w:t>（教港澳臺〔</w:t>
      </w:r>
      <w:r>
        <w:rPr>
          <w:rFonts w:ascii="FangSong" w:hAnsi="FangSong" w:eastAsia="FangSong" w:cs="FangSong"/>
        </w:rPr>
        <w:t>2016</w:t>
      </w:r>
      <w:r>
        <w:rPr/>
        <w:t>〕</w:t>
      </w:r>
      <w:r>
        <w:rPr>
          <w:rFonts w:ascii="FangSong" w:hAnsi="FangSong" w:eastAsia="FangSong" w:cs="FangSong"/>
        </w:rPr>
        <w:t>96</w:t>
      </w:r>
      <w:r>
        <w:rPr>
          <w:rFonts w:ascii="FangSong" w:hAnsi="FangSong" w:eastAsia="FangSong" w:cs="FangSong"/>
          <w:spacing w:val="-63"/>
        </w:rPr>
        <w:t xml:space="preserve"> </w:t>
      </w:r>
      <w:r>
        <w:rPr/>
        <w:t>號）進行管理。學生與內地（祖國大陸</w:t>
      </w:r>
      <w:r>
        <w:rPr>
          <w:spacing w:val="-1"/>
        </w:rPr>
        <w:t>）學</w:t>
      </w:r>
      <w:r>
        <w:rPr/>
        <w:t xml:space="preserve">    </w:t>
      </w:r>
      <w:r>
        <w:rPr>
          <w:spacing w:val="-3"/>
        </w:rPr>
        <w:t>生享受同等醫療保障政策，按規定參加高校所在地城鎮居民基本醫療</w:t>
      </w:r>
      <w:r>
        <w:rPr/>
        <w:t xml:space="preserve">  </w:t>
      </w:r>
      <w:r>
        <w:rPr>
          <w:spacing w:val="-3"/>
        </w:rPr>
        <w:t>保險並享受同等待遇。學生可參評教育部設立的港澳臺僑學生獎學金</w:t>
      </w:r>
      <w:r>
        <w:rPr/>
        <w:t xml:space="preserve">  </w:t>
      </w:r>
      <w:r>
        <w:rPr>
          <w:spacing w:val="1"/>
        </w:rPr>
        <w:t>和學校獎學金。</w:t>
      </w:r>
      <w:r>
        <w:rPr>
          <w:color w:val="333333"/>
          <w:spacing w:val="1"/>
        </w:rPr>
        <w:t>若教育部相關規定有變化，以新規定為准。</w:t>
      </w:r>
    </w:p>
    <w:p>
      <w:pPr>
        <w:pStyle w:val="BodyText"/>
        <w:ind w:left="28"/>
        <w:spacing w:line="193" w:lineRule="auto"/>
        <w:outlineLvl w:val="1"/>
        <w:rPr/>
      </w:pPr>
      <w:r>
        <w:rPr>
          <w:rFonts w:ascii="SimHei" w:hAnsi="SimHei" w:eastAsia="SimHei" w:cs="SimHei"/>
          <w:b/>
          <w:bCs/>
          <w:color w:val="333333"/>
          <w:spacing w:val="-3"/>
        </w:rPr>
        <w:t>十、</w:t>
      </w:r>
      <w:r>
        <w:rPr>
          <w:rFonts w:ascii="SimHei" w:hAnsi="SimHei" w:eastAsia="SimHei" w:cs="SimHei"/>
          <w:color w:val="333333"/>
          <w:spacing w:val="23"/>
        </w:rPr>
        <w:t xml:space="preserve"> </w:t>
      </w:r>
      <w:r>
        <w:rPr>
          <w:b/>
          <w:bCs/>
          <w:color w:val="333333"/>
          <w:spacing w:val="-3"/>
        </w:rPr>
        <w:t>獎學金設置</w:t>
      </w:r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23" w:right="136" w:firstLine="554"/>
        <w:spacing w:before="120" w:line="312" w:lineRule="auto"/>
        <w:jc w:val="both"/>
        <w:rPr/>
      </w:pPr>
      <w:r>
        <w:rPr>
          <w:spacing w:val="-4"/>
        </w:rPr>
        <w:t>學生從第二學年開始，可以參評教育部設立的港澳臺僑學生獎學</w:t>
      </w:r>
      <w:r>
        <w:rPr>
          <w:spacing w:val="15"/>
        </w:rPr>
        <w:t xml:space="preserve"> </w:t>
      </w:r>
      <w:r>
        <w:rPr>
          <w:spacing w:val="-3"/>
        </w:rPr>
        <w:t>金和學校獎學金。獎學金每學年評選一次，符</w:t>
      </w:r>
      <w:r>
        <w:rPr>
          <w:spacing w:val="-4"/>
        </w:rPr>
        <w:t>合條件的學生可連續申</w:t>
      </w:r>
      <w:r>
        <w:rPr/>
        <w:t xml:space="preserve"> </w:t>
      </w:r>
      <w:r>
        <w:rPr>
          <w:spacing w:val="-2"/>
        </w:rPr>
        <w:t>請 。</w:t>
      </w:r>
    </w:p>
    <w:p>
      <w:pPr>
        <w:pStyle w:val="BodyText"/>
        <w:ind w:left="430"/>
        <w:spacing w:before="2" w:line="180" w:lineRule="auto"/>
        <w:outlineLvl w:val="2"/>
        <w:rPr/>
      </w:pPr>
      <w:r>
        <w:rPr>
          <w:b/>
          <w:bCs/>
        </w:rPr>
        <w:t>（一）港澳臺學生獎學金</w:t>
      </w:r>
    </w:p>
    <w:p>
      <w:pPr>
        <w:pStyle w:val="BodyText"/>
        <w:ind w:left="18" w:right="170" w:firstLine="623"/>
        <w:spacing w:before="264" w:line="311" w:lineRule="auto"/>
        <w:jc w:val="both"/>
        <w:rPr/>
      </w:pPr>
      <w:r>
        <w:rPr>
          <w:spacing w:val="22"/>
        </w:rPr>
        <w:t>港澳臺及華僑在校生獎學金按學年申請和評</w:t>
      </w:r>
      <w:r>
        <w:rPr>
          <w:spacing w:val="21"/>
        </w:rPr>
        <w:t>審 。港澳臺及</w:t>
      </w:r>
      <w:r>
        <w:rPr/>
        <w:t xml:space="preserve"> </w:t>
      </w:r>
      <w:r>
        <w:rPr>
          <w:spacing w:val="26"/>
        </w:rPr>
        <w:t>華僑學生根據獎學金申請條件，按學年向所在學校或科研院所</w:t>
      </w:r>
      <w:r>
        <w:rPr>
          <w:spacing w:val="3"/>
        </w:rPr>
        <w:t xml:space="preserve"> </w:t>
      </w:r>
      <w:r>
        <w:rPr>
          <w:spacing w:val="23"/>
        </w:rPr>
        <w:t>提出申請，提交《港澳臺及華僑學生獎學金申請表》。</w:t>
      </w:r>
    </w:p>
    <w:p>
      <w:pPr>
        <w:pStyle w:val="BodyText"/>
        <w:ind w:left="609"/>
        <w:spacing w:before="13" w:line="185" w:lineRule="auto"/>
        <w:rPr/>
      </w:pPr>
      <w:r>
        <w:rPr>
          <w:rFonts w:ascii="FangSong" w:hAnsi="FangSong" w:eastAsia="FangSong" w:cs="FangSong"/>
          <w:spacing w:val="-3"/>
        </w:rPr>
        <w:t>1.</w:t>
      </w:r>
      <w:r>
        <w:rPr>
          <w:spacing w:val="-3"/>
        </w:rPr>
        <w:t>申請獎學金的基本條件</w:t>
      </w:r>
    </w:p>
    <w:p>
      <w:pPr>
        <w:pStyle w:val="BodyText"/>
        <w:ind w:left="36" w:right="138" w:firstLine="533"/>
        <w:spacing w:before="255" w:line="248" w:lineRule="auto"/>
        <w:rPr>
          <w:rFonts w:ascii="FangSong" w:hAnsi="FangSong" w:eastAsia="FangSong" w:cs="FangSong"/>
        </w:rPr>
      </w:pPr>
      <w:r>
        <w:rPr>
          <w:spacing w:val="-4"/>
        </w:rPr>
        <w:t>（</w:t>
      </w:r>
      <w:r>
        <w:rPr>
          <w:rFonts w:ascii="FangSong" w:hAnsi="FangSong" w:eastAsia="FangSong" w:cs="FangSong"/>
          <w:spacing w:val="-4"/>
        </w:rPr>
        <w:t>1</w:t>
      </w:r>
      <w:r>
        <w:rPr>
          <w:spacing w:val="-4"/>
        </w:rPr>
        <w:t>）熱愛祖國 ，擁護“一國兩制”方針 ；臺灣學生認同一個中</w:t>
      </w:r>
      <w:r>
        <w:rPr>
          <w:spacing w:val="6"/>
        </w:rPr>
        <w:t xml:space="preserve"> </w:t>
      </w:r>
      <w:r>
        <w:rPr>
          <w:spacing w:val="-11"/>
        </w:rPr>
        <w:t>國 ，擁護祖國統一</w:t>
      </w:r>
      <w:r>
        <w:rPr>
          <w:rFonts w:ascii="FangSong" w:hAnsi="FangSong" w:eastAsia="FangSong" w:cs="FangSong"/>
          <w:spacing w:val="-11"/>
        </w:rPr>
        <w:t>;</w:t>
      </w:r>
    </w:p>
    <w:p>
      <w:pPr>
        <w:pStyle w:val="BodyText"/>
        <w:ind w:left="718"/>
        <w:spacing w:before="253" w:line="181" w:lineRule="auto"/>
        <w:rPr/>
      </w:pPr>
      <w:r>
        <w:rPr>
          <w:spacing w:val="-2"/>
        </w:rPr>
        <w:t>（</w:t>
      </w:r>
      <w:r>
        <w:rPr>
          <w:rFonts w:ascii="FangSong" w:hAnsi="FangSong" w:eastAsia="FangSong" w:cs="FangSong"/>
          <w:spacing w:val="-2"/>
        </w:rPr>
        <w:t>2</w:t>
      </w:r>
      <w:r>
        <w:rPr>
          <w:spacing w:val="-2"/>
        </w:rPr>
        <w:t>）自覺遵守國家法律、法規 ，遵守學</w:t>
      </w:r>
      <w:r>
        <w:rPr>
          <w:spacing w:val="-3"/>
        </w:rPr>
        <w:t>校各項規章制度；</w:t>
      </w:r>
    </w:p>
    <w:p>
      <w:pPr>
        <w:spacing w:line="181" w:lineRule="auto"/>
        <w:sectPr>
          <w:footerReference w:type="default" r:id="rId9"/>
          <w:pgSz w:w="11907" w:h="16839"/>
          <w:pgMar w:top="1431" w:right="1659" w:bottom="1373" w:left="1785" w:header="0" w:footer="1209" w:gutter="0"/>
        </w:sectPr>
        <w:rPr/>
      </w:pPr>
    </w:p>
    <w:p>
      <w:pPr>
        <w:pStyle w:val="BodyText"/>
        <w:ind w:left="718"/>
        <w:spacing w:before="188" w:line="181" w:lineRule="auto"/>
        <w:rPr/>
      </w:pPr>
      <w:r>
        <w:rPr>
          <w:spacing w:val="-1"/>
        </w:rPr>
        <w:t>（</w:t>
      </w:r>
      <w:r>
        <w:rPr>
          <w:rFonts w:ascii="FangSong" w:hAnsi="FangSong" w:eastAsia="FangSong" w:cs="FangSong"/>
          <w:spacing w:val="-1"/>
        </w:rPr>
        <w:t>3</w:t>
      </w:r>
      <w:r>
        <w:rPr>
          <w:spacing w:val="-1"/>
        </w:rPr>
        <w:t>）誠實守信，有良好的道德修養 ；</w:t>
      </w:r>
    </w:p>
    <w:p>
      <w:pPr>
        <w:pStyle w:val="BodyText"/>
        <w:ind w:left="602" w:right="456" w:firstLine="115"/>
        <w:spacing w:before="264" w:line="248" w:lineRule="auto"/>
        <w:rPr/>
      </w:pPr>
      <w:r>
        <w:rPr>
          <w:spacing w:val="1"/>
        </w:rPr>
        <w:t>（</w:t>
      </w:r>
      <w:r>
        <w:rPr>
          <w:rFonts w:ascii="FangSong" w:hAnsi="FangSong" w:eastAsia="FangSong" w:cs="FangSong"/>
          <w:spacing w:val="1"/>
        </w:rPr>
        <w:t>4</w:t>
      </w:r>
      <w:r>
        <w:rPr>
          <w:spacing w:val="1"/>
        </w:rPr>
        <w:t>）入學考試成績優秀或在校期間勤奮刻苦，成績優良。</w:t>
      </w:r>
      <w:r>
        <w:rPr>
          <w:spacing w:val="8"/>
        </w:rPr>
        <w:t xml:space="preserve"> </w:t>
      </w:r>
      <w:r>
        <w:rPr>
          <w:rFonts w:ascii="FangSong" w:hAnsi="FangSong" w:eastAsia="FangSong" w:cs="FangSong"/>
          <w:spacing w:val="-4"/>
        </w:rPr>
        <w:t>2.</w:t>
      </w:r>
      <w:r>
        <w:rPr>
          <w:spacing w:val="-4"/>
        </w:rPr>
        <w:t>獎勵標準</w:t>
      </w:r>
    </w:p>
    <w:p>
      <w:pPr>
        <w:pStyle w:val="BodyText"/>
        <w:ind w:left="18" w:right="4" w:firstLine="563"/>
        <w:spacing w:before="254" w:line="310" w:lineRule="auto"/>
        <w:jc w:val="both"/>
        <w:rPr/>
      </w:pPr>
      <w:r>
        <w:rPr>
          <w:spacing w:val="-6"/>
        </w:rPr>
        <w:t>本科獎學金分四個等級 ，其中：特等獎 ，每生每學年</w:t>
      </w:r>
      <w:r>
        <w:rPr>
          <w:spacing w:val="35"/>
        </w:rPr>
        <w:t xml:space="preserve"> </w:t>
      </w:r>
      <w:r>
        <w:rPr>
          <w:rFonts w:ascii="FangSong" w:hAnsi="FangSong" w:eastAsia="FangSong" w:cs="FangSong"/>
          <w:spacing w:val="-6"/>
        </w:rPr>
        <w:t>8</w:t>
      </w:r>
      <w:r>
        <w:rPr>
          <w:rFonts w:ascii="FangSong" w:hAnsi="FangSong" w:eastAsia="FangSong" w:cs="FangSong"/>
          <w:spacing w:val="-7"/>
        </w:rPr>
        <w:t>000</w:t>
      </w:r>
      <w:r>
        <w:rPr>
          <w:rFonts w:ascii="FangSong" w:hAnsi="FangSong" w:eastAsia="FangSong" w:cs="FangSong"/>
          <w:spacing w:val="-37"/>
        </w:rPr>
        <w:t xml:space="preserve"> </w:t>
      </w:r>
      <w:r>
        <w:rPr>
          <w:spacing w:val="-7"/>
        </w:rPr>
        <w:t>元；</w:t>
      </w:r>
      <w:r>
        <w:rPr/>
        <w:t xml:space="preserve"> </w:t>
      </w:r>
      <w:r>
        <w:rPr>
          <w:spacing w:val="-13"/>
        </w:rPr>
        <w:t>一等獎，每生每學年 </w:t>
      </w:r>
      <w:r>
        <w:rPr>
          <w:rFonts w:ascii="FangSong" w:hAnsi="FangSong" w:eastAsia="FangSong" w:cs="FangSong"/>
          <w:spacing w:val="-13"/>
        </w:rPr>
        <w:t>6000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-13"/>
        </w:rPr>
        <w:t>元；二等獎，每生每學年 </w:t>
      </w:r>
      <w:r>
        <w:rPr>
          <w:rFonts w:ascii="FangSong" w:hAnsi="FangSong" w:eastAsia="FangSong" w:cs="FangSong"/>
          <w:spacing w:val="-13"/>
        </w:rPr>
        <w:t>5000</w:t>
      </w:r>
      <w:r>
        <w:rPr>
          <w:rFonts w:ascii="FangSong" w:hAnsi="FangSong" w:eastAsia="FangSong" w:cs="FangSong"/>
          <w:spacing w:val="-62"/>
        </w:rPr>
        <w:t xml:space="preserve"> </w:t>
      </w:r>
      <w:r>
        <w:rPr>
          <w:spacing w:val="-13"/>
        </w:rPr>
        <w:t>元；三等獎 ，</w:t>
      </w:r>
      <w:r>
        <w:rPr/>
        <w:t xml:space="preserve"> </w:t>
      </w:r>
      <w:r>
        <w:rPr/>
        <w:t>每生每學年 </w:t>
      </w:r>
      <w:r>
        <w:rPr>
          <w:rFonts w:ascii="FangSong" w:hAnsi="FangSong" w:eastAsia="FangSong" w:cs="FangSong"/>
        </w:rPr>
        <w:t>4000</w:t>
      </w:r>
      <w:r>
        <w:rPr>
          <w:rFonts w:ascii="FangSong" w:hAnsi="FangSong" w:eastAsia="FangSong" w:cs="FangSong"/>
          <w:spacing w:val="-56"/>
        </w:rPr>
        <w:t xml:space="preserve"> </w:t>
      </w:r>
      <w:r>
        <w:rPr/>
        <w:t>元。</w:t>
      </w:r>
    </w:p>
    <w:p>
      <w:pPr>
        <w:pStyle w:val="BodyText"/>
        <w:ind w:left="571"/>
        <w:spacing w:before="1" w:line="180" w:lineRule="auto"/>
        <w:outlineLvl w:val="2"/>
        <w:rPr/>
      </w:pPr>
      <w:r>
        <w:rPr>
          <w:b/>
          <w:bCs/>
          <w:spacing w:val="1"/>
        </w:rPr>
        <w:t>（二）學校獎學金</w:t>
      </w:r>
    </w:p>
    <w:p>
      <w:pPr>
        <w:pStyle w:val="BodyText"/>
        <w:ind w:left="18" w:right="18" w:firstLine="559"/>
        <w:spacing w:before="267" w:line="311" w:lineRule="auto"/>
        <w:jc w:val="both"/>
        <w:rPr/>
      </w:pPr>
      <w:r>
        <w:rPr>
          <w:spacing w:val="-4"/>
        </w:rPr>
        <w:t>我校根據教育法、高等教育法、教育部《普通高等學校學生管理</w:t>
      </w:r>
      <w:r>
        <w:rPr>
          <w:spacing w:val="15"/>
        </w:rPr>
        <w:t xml:space="preserve"> </w:t>
      </w:r>
      <w:r>
        <w:rPr>
          <w:spacing w:val="-3"/>
        </w:rPr>
        <w:t>規定》和《廣州大學普通本科生學籍管理規定》等有關規定，結合我</w:t>
      </w:r>
      <w:r>
        <w:rPr>
          <w:spacing w:val="2"/>
        </w:rPr>
        <w:t xml:space="preserve"> </w:t>
      </w:r>
      <w:r>
        <w:rPr>
          <w:spacing w:val="-10"/>
          <w:w w:val="99"/>
        </w:rPr>
        <w:t>校高水平大學建設人才培養目標和實際情況制定學校獎學金。獎學金於</w:t>
      </w:r>
      <w:r>
        <w:rPr>
          <w:spacing w:val="26"/>
        </w:rPr>
        <w:t xml:space="preserve"> </w:t>
      </w:r>
      <w:r>
        <w:rPr>
          <w:spacing w:val="-12"/>
        </w:rPr>
        <w:t>每年九月份開始受理申請，由學院成立評獎評審小組，按照公平公正公</w:t>
      </w:r>
      <w:r>
        <w:rPr>
          <w:spacing w:val="2"/>
        </w:rPr>
        <w:t xml:space="preserve"> </w:t>
      </w:r>
      <w:r>
        <w:rPr>
          <w:spacing w:val="-5"/>
        </w:rPr>
        <w:t>開的原則進行評定。</w:t>
      </w:r>
    </w:p>
    <w:p>
      <w:pPr>
        <w:pStyle w:val="BodyText"/>
        <w:ind w:left="609"/>
        <w:spacing w:before="13" w:line="185" w:lineRule="auto"/>
        <w:rPr/>
      </w:pPr>
      <w:r>
        <w:rPr>
          <w:rFonts w:ascii="FangSong" w:hAnsi="FangSong" w:eastAsia="FangSong" w:cs="FangSong"/>
          <w:spacing w:val="-3"/>
        </w:rPr>
        <w:t>1.</w:t>
      </w:r>
      <w:r>
        <w:rPr>
          <w:spacing w:val="-3"/>
        </w:rPr>
        <w:t>申請獎學金的基本條件</w:t>
      </w:r>
    </w:p>
    <w:p>
      <w:pPr>
        <w:pStyle w:val="BodyText"/>
        <w:ind w:left="718"/>
        <w:spacing w:before="252" w:line="181" w:lineRule="auto"/>
        <w:rPr/>
      </w:pPr>
      <w:r>
        <w:rPr>
          <w:spacing w:val="-7"/>
        </w:rPr>
        <w:t>（</w:t>
      </w:r>
      <w:r>
        <w:rPr>
          <w:rFonts w:ascii="FangSong" w:hAnsi="FangSong" w:eastAsia="FangSong" w:cs="FangSong"/>
          <w:spacing w:val="-7"/>
        </w:rPr>
        <w:t>1</w:t>
      </w:r>
      <w:r>
        <w:rPr>
          <w:spacing w:val="-7"/>
        </w:rPr>
        <w:t>）熱愛祖國 ，熱愛社會主義 ，遵紀守法；</w:t>
      </w:r>
    </w:p>
    <w:p>
      <w:pPr>
        <w:pStyle w:val="BodyText"/>
        <w:ind w:left="718"/>
        <w:spacing w:before="261" w:line="309" w:lineRule="auto"/>
        <w:rPr/>
      </w:pPr>
      <w:r>
        <w:rPr>
          <w:spacing w:val="-13"/>
        </w:rPr>
        <w:t>（</w:t>
      </w:r>
      <w:r>
        <w:rPr>
          <w:rFonts w:ascii="FangSong" w:hAnsi="FangSong" w:eastAsia="FangSong" w:cs="FangSong"/>
          <w:spacing w:val="-13"/>
        </w:rPr>
        <w:t>2</w:t>
      </w:r>
      <w:r>
        <w:rPr>
          <w:spacing w:val="-13"/>
        </w:rPr>
        <w:t>）專業思想牢固，有鑽研和創新精神，學習勤奮，成績優良；</w:t>
      </w:r>
      <w:r>
        <w:rPr>
          <w:spacing w:val="17"/>
        </w:rPr>
        <w:t xml:space="preserve"> </w:t>
      </w:r>
      <w:r>
        <w:rPr>
          <w:spacing w:val="-12"/>
        </w:rPr>
        <w:t>（</w:t>
      </w:r>
      <w:r>
        <w:rPr>
          <w:rFonts w:ascii="FangSong" w:hAnsi="FangSong" w:eastAsia="FangSong" w:cs="FangSong"/>
          <w:spacing w:val="-12"/>
        </w:rPr>
        <w:t>3</w:t>
      </w:r>
      <w:r>
        <w:rPr>
          <w:spacing w:val="-12"/>
        </w:rPr>
        <w:t>）關心集體</w:t>
      </w:r>
      <w:r>
        <w:rPr>
          <w:spacing w:val="-15"/>
        </w:rPr>
        <w:t xml:space="preserve"> </w:t>
      </w:r>
      <w:r>
        <w:rPr>
          <w:spacing w:val="-12"/>
        </w:rPr>
        <w:t>，尊敬老師</w:t>
      </w:r>
      <w:r>
        <w:rPr>
          <w:spacing w:val="-19"/>
        </w:rPr>
        <w:t xml:space="preserve"> </w:t>
      </w:r>
      <w:r>
        <w:rPr>
          <w:spacing w:val="-12"/>
        </w:rPr>
        <w:t>，團結同學</w:t>
      </w:r>
      <w:r>
        <w:rPr>
          <w:spacing w:val="-19"/>
        </w:rPr>
        <w:t xml:space="preserve"> </w:t>
      </w:r>
      <w:r>
        <w:rPr>
          <w:spacing w:val="-12"/>
        </w:rPr>
        <w:t>，積極參加班級 、學院、</w:t>
      </w:r>
      <w:r>
        <w:rPr/>
        <w:t xml:space="preserve"> </w:t>
      </w:r>
      <w:r>
        <w:rPr>
          <w:spacing w:val="1"/>
        </w:rPr>
        <w:t>學校的集體活動和社會活動，並且表現突出。</w:t>
      </w:r>
    </w:p>
    <w:p>
      <w:pPr>
        <w:pStyle w:val="BodyText"/>
        <w:ind w:left="602"/>
        <w:spacing w:before="19" w:line="185" w:lineRule="auto"/>
        <w:rPr/>
      </w:pPr>
      <w:r>
        <w:rPr>
          <w:rFonts w:ascii="FangSong" w:hAnsi="FangSong" w:eastAsia="FangSong" w:cs="FangSong"/>
          <w:spacing w:val="-4"/>
        </w:rPr>
        <w:t>2.</w:t>
      </w:r>
      <w:r>
        <w:rPr>
          <w:spacing w:val="-4"/>
        </w:rPr>
        <w:t>獎勵標準</w:t>
      </w:r>
    </w:p>
    <w:p>
      <w:pPr>
        <w:pStyle w:val="BodyText"/>
        <w:ind w:left="576"/>
        <w:spacing w:before="253" w:line="181" w:lineRule="auto"/>
        <w:rPr/>
      </w:pPr>
      <w:r>
        <w:rPr/>
        <w:t>（</w:t>
      </w:r>
      <w:r>
        <w:rPr>
          <w:rFonts w:ascii="FangSong" w:hAnsi="FangSong" w:eastAsia="FangSong" w:cs="FangSong"/>
        </w:rPr>
        <w:t>1</w:t>
      </w:r>
      <w:r>
        <w:rPr/>
        <w:t>）一等獎學金</w:t>
      </w:r>
    </w:p>
    <w:p>
      <w:pPr>
        <w:pStyle w:val="BodyText"/>
        <w:ind w:left="23" w:right="25" w:firstLine="554"/>
        <w:spacing w:before="248" w:line="309" w:lineRule="auto"/>
        <w:rPr/>
      </w:pPr>
      <w:r>
        <w:rPr>
          <w:spacing w:val="-2"/>
        </w:rPr>
        <w:t>評選名額比例為學院參評人數的  </w:t>
      </w:r>
      <w:r>
        <w:rPr>
          <w:rFonts w:ascii="FangSong" w:hAnsi="FangSong" w:eastAsia="FangSong" w:cs="FangSong"/>
          <w:spacing w:val="-2"/>
        </w:rPr>
        <w:t>5%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2"/>
        </w:rPr>
        <w:t>，具體申報資格為綜合測評</w:t>
      </w:r>
      <w:r>
        <w:rPr/>
        <w:t xml:space="preserve"> </w:t>
      </w:r>
      <w:r>
        <w:rPr>
          <w:spacing w:val="-4"/>
        </w:rPr>
        <w:t>總分排名居本班級前 </w:t>
      </w:r>
      <w:r>
        <w:rPr>
          <w:rFonts w:ascii="FangSong" w:hAnsi="FangSong" w:eastAsia="FangSong" w:cs="FangSong"/>
          <w:spacing w:val="-4"/>
        </w:rPr>
        <w:t>8%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-4"/>
        </w:rPr>
        <w:t>，獎金金額 </w:t>
      </w:r>
      <w:r>
        <w:rPr>
          <w:rFonts w:ascii="FangSong" w:hAnsi="FangSong" w:eastAsia="FangSong" w:cs="FangSong"/>
          <w:spacing w:val="-4"/>
        </w:rPr>
        <w:t>2500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4"/>
        </w:rPr>
        <w:t>元。</w:t>
      </w:r>
    </w:p>
    <w:p>
      <w:pPr>
        <w:pStyle w:val="BodyText"/>
        <w:ind w:left="569"/>
        <w:spacing w:before="24" w:line="181" w:lineRule="auto"/>
        <w:rPr/>
      </w:pPr>
      <w:r>
        <w:rPr/>
        <w:t>（</w:t>
      </w:r>
      <w:r>
        <w:rPr>
          <w:rFonts w:ascii="FangSong" w:hAnsi="FangSong" w:eastAsia="FangSong" w:cs="FangSong"/>
        </w:rPr>
        <w:t>2</w:t>
      </w:r>
      <w:r>
        <w:rPr/>
        <w:t>）二等獎學金</w:t>
      </w:r>
    </w:p>
    <w:p>
      <w:pPr>
        <w:spacing w:line="181" w:lineRule="auto"/>
        <w:sectPr>
          <w:footerReference w:type="default" r:id="rId10"/>
          <w:pgSz w:w="11907" w:h="16839"/>
          <w:pgMar w:top="1431" w:right="1769" w:bottom="1373" w:left="1785" w:header="0" w:footer="1209" w:gutter="0"/>
        </w:sectPr>
        <w:rPr/>
      </w:pPr>
    </w:p>
    <w:p>
      <w:pPr>
        <w:pStyle w:val="BodyText"/>
        <w:ind w:left="23" w:right="9" w:firstLine="554"/>
        <w:spacing w:before="175" w:line="309" w:lineRule="auto"/>
        <w:rPr/>
      </w:pPr>
      <w:r>
        <w:rPr>
          <w:spacing w:val="-2"/>
        </w:rPr>
        <w:t>評選名額比例為學院參評人數的</w:t>
      </w:r>
      <w:r>
        <w:rPr>
          <w:spacing w:val="80"/>
        </w:rPr>
        <w:t xml:space="preserve"> </w:t>
      </w:r>
      <w:r>
        <w:rPr>
          <w:rFonts w:ascii="FangSong" w:hAnsi="FangSong" w:eastAsia="FangSong" w:cs="FangSong"/>
          <w:spacing w:val="-2"/>
        </w:rPr>
        <w:t>8%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2"/>
        </w:rPr>
        <w:t>，具體申報資格為綜合測評</w:t>
      </w:r>
      <w:r>
        <w:rPr/>
        <w:t xml:space="preserve"> </w:t>
      </w:r>
      <w:r>
        <w:rPr>
          <w:spacing w:val="-4"/>
        </w:rPr>
        <w:t>總分排名居本班級前 </w:t>
      </w:r>
      <w:r>
        <w:rPr>
          <w:rFonts w:ascii="FangSong" w:hAnsi="FangSong" w:eastAsia="FangSong" w:cs="FangSong"/>
          <w:spacing w:val="-4"/>
        </w:rPr>
        <w:t>20%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spacing w:val="-4"/>
        </w:rPr>
        <w:t>，獎金金額 </w:t>
      </w:r>
      <w:r>
        <w:rPr>
          <w:rFonts w:ascii="FangSong" w:hAnsi="FangSong" w:eastAsia="FangSong" w:cs="FangSong"/>
          <w:spacing w:val="-4"/>
        </w:rPr>
        <w:t>1800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4"/>
        </w:rPr>
        <w:t>元。</w:t>
      </w:r>
    </w:p>
    <w:p>
      <w:pPr>
        <w:pStyle w:val="BodyText"/>
        <w:ind w:left="569"/>
        <w:spacing w:before="24" w:line="181" w:lineRule="auto"/>
        <w:rPr/>
      </w:pPr>
      <w:r>
        <w:rPr/>
        <w:t>（</w:t>
      </w:r>
      <w:r>
        <w:rPr>
          <w:rFonts w:ascii="FangSong" w:hAnsi="FangSong" w:eastAsia="FangSong" w:cs="FangSong"/>
        </w:rPr>
        <w:t>3</w:t>
      </w:r>
      <w:r>
        <w:rPr/>
        <w:t>）三等獎學金</w:t>
      </w:r>
    </w:p>
    <w:p>
      <w:pPr>
        <w:pStyle w:val="BodyText"/>
        <w:ind w:left="23" w:right="12" w:firstLine="554"/>
        <w:spacing w:before="247" w:line="309" w:lineRule="auto"/>
        <w:rPr/>
      </w:pPr>
      <w:r>
        <w:rPr>
          <w:spacing w:val="-4"/>
        </w:rPr>
        <w:t>評選名額比例為學院參評人數的 </w:t>
      </w:r>
      <w:r>
        <w:rPr>
          <w:rFonts w:ascii="FangSong" w:hAnsi="FangSong" w:eastAsia="FangSong" w:cs="FangSong"/>
          <w:spacing w:val="-4"/>
        </w:rPr>
        <w:t>12%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4"/>
        </w:rPr>
        <w:t>，具體申報資格為綜合測評</w:t>
      </w:r>
      <w:r>
        <w:rPr/>
        <w:t xml:space="preserve"> </w:t>
      </w:r>
      <w:r>
        <w:rPr>
          <w:spacing w:val="-4"/>
        </w:rPr>
        <w:t>總分排名居本班級前 </w:t>
      </w:r>
      <w:r>
        <w:rPr>
          <w:rFonts w:ascii="FangSong" w:hAnsi="FangSong" w:eastAsia="FangSong" w:cs="FangSong"/>
          <w:spacing w:val="-4"/>
        </w:rPr>
        <w:t>40%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spacing w:val="-4"/>
        </w:rPr>
        <w:t>，獎金金額 </w:t>
      </w:r>
      <w:r>
        <w:rPr>
          <w:rFonts w:ascii="FangSong" w:hAnsi="FangSong" w:eastAsia="FangSong" w:cs="FangSong"/>
          <w:spacing w:val="-4"/>
        </w:rPr>
        <w:t>1000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4"/>
        </w:rPr>
        <w:t>元。</w:t>
      </w:r>
    </w:p>
    <w:p>
      <w:pPr>
        <w:pStyle w:val="BodyText"/>
        <w:ind w:left="23"/>
        <w:spacing w:before="25" w:line="185" w:lineRule="auto"/>
        <w:rPr/>
      </w:pPr>
      <w:r>
        <w:rPr>
          <w:spacing w:val="-1"/>
        </w:rPr>
        <w:t>注：</w:t>
      </w:r>
      <w:r>
        <w:rPr>
          <w:rFonts w:ascii="FangSong" w:hAnsi="FangSong" w:eastAsia="FangSong" w:cs="FangSong"/>
          <w:spacing w:val="-1"/>
        </w:rPr>
        <w:t>1.</w:t>
      </w:r>
      <w:r>
        <w:rPr>
          <w:spacing w:val="-1"/>
        </w:rPr>
        <w:t>港澳臺僑獎學金評定辦法由財政部、教育部負責解釋 ；</w:t>
      </w:r>
    </w:p>
    <w:p>
      <w:pPr>
        <w:pStyle w:val="BodyText"/>
        <w:ind w:left="602"/>
        <w:spacing w:before="254" w:line="185" w:lineRule="auto"/>
        <w:rPr/>
      </w:pPr>
      <w:r>
        <w:rPr>
          <w:rFonts w:ascii="FangSong" w:hAnsi="FangSong" w:eastAsia="FangSong" w:cs="FangSong"/>
          <w:spacing w:val="-1"/>
        </w:rPr>
        <w:t>2.</w:t>
      </w:r>
      <w:r>
        <w:rPr>
          <w:spacing w:val="-1"/>
        </w:rPr>
        <w:t>學校獎學金評定辦法由學生處或教務處負責解</w:t>
      </w:r>
      <w:r>
        <w:rPr>
          <w:spacing w:val="-2"/>
        </w:rPr>
        <w:t>釋 ；</w:t>
      </w:r>
    </w:p>
    <w:p>
      <w:pPr>
        <w:pStyle w:val="BodyText"/>
        <w:ind w:left="23" w:right="12" w:firstLine="590"/>
        <w:spacing w:before="254" w:line="306" w:lineRule="auto"/>
        <w:rPr/>
      </w:pPr>
      <w:r>
        <w:rPr>
          <w:rFonts w:ascii="FangSong" w:hAnsi="FangSong" w:eastAsia="FangSong" w:cs="FangSong"/>
          <w:spacing w:val="-5"/>
        </w:rPr>
        <w:t>3.</w:t>
      </w:r>
      <w:r>
        <w:rPr>
          <w:spacing w:val="-5"/>
        </w:rPr>
        <w:t>上級部門將根據當年度情況，適時調整港澳臺僑學生獎學金等</w:t>
      </w:r>
      <w:r>
        <w:rPr>
          <w:spacing w:val="12"/>
        </w:rPr>
        <w:t xml:space="preserve"> </w:t>
      </w:r>
      <w:r>
        <w:rPr>
          <w:spacing w:val="-9"/>
        </w:rPr>
        <w:t>級 、名額和獎勵標準 ；</w:t>
      </w:r>
    </w:p>
    <w:p>
      <w:pPr>
        <w:pStyle w:val="BodyText"/>
        <w:ind w:left="594"/>
        <w:spacing w:before="23" w:line="185" w:lineRule="auto"/>
        <w:rPr/>
      </w:pPr>
      <w:r>
        <w:rPr>
          <w:rFonts w:ascii="FangSong" w:hAnsi="FangSong" w:eastAsia="FangSong" w:cs="FangSong"/>
        </w:rPr>
        <w:t>4.</w:t>
      </w:r>
      <w:r>
        <w:rPr/>
        <w:t>以上獎學金申請辦法以學校當年度公佈資訊為准。</w:t>
      </w:r>
    </w:p>
    <w:p>
      <w:pPr>
        <w:spacing w:line="271" w:lineRule="auto"/>
        <w:rPr>
          <w:rFonts w:ascii="Arial"/>
          <w:sz w:val="21"/>
        </w:rPr>
      </w:pPr>
      <w:r/>
    </w:p>
    <w:p>
      <w:pPr>
        <w:pStyle w:val="BodyText"/>
        <w:ind w:left="23"/>
        <w:spacing w:before="120" w:line="185" w:lineRule="auto"/>
        <w:outlineLvl w:val="1"/>
        <w:rPr/>
      </w:pPr>
      <w:r>
        <w:rPr>
          <w:b/>
          <w:bCs/>
          <w:color w:val="333333"/>
          <w:spacing w:val="-11"/>
        </w:rPr>
        <w:t>十一 、聯繫方式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575"/>
        <w:spacing w:before="121" w:line="185" w:lineRule="auto"/>
        <w:rPr/>
      </w:pPr>
      <w:r>
        <w:rPr>
          <w:color w:val="333333"/>
          <w:spacing w:val="-1"/>
        </w:rPr>
        <w:t>所在單位：廣州大學招生辦公室</w:t>
      </w:r>
    </w:p>
    <w:p>
      <w:pPr>
        <w:pStyle w:val="BodyText"/>
        <w:ind w:left="584"/>
        <w:spacing w:before="253" w:line="186" w:lineRule="auto"/>
        <w:rPr/>
      </w:pPr>
      <w:r>
        <w:rPr>
          <w:color w:val="333333"/>
          <w:spacing w:val="-8"/>
        </w:rPr>
        <w:t>連絡人：潘老師 、楊老師</w:t>
      </w:r>
    </w:p>
    <w:p>
      <w:pPr>
        <w:pStyle w:val="BodyText"/>
        <w:ind w:left="575" w:right="4401" w:firstLine="4"/>
        <w:spacing w:before="262" w:line="307" w:lineRule="auto"/>
        <w:rPr>
          <w:rFonts w:ascii="FangSong" w:hAnsi="FangSong" w:eastAsia="FangSong" w:cs="FangSong"/>
        </w:rPr>
      </w:pPr>
      <w:r>
        <w:rPr>
          <w:color w:val="333333"/>
          <w:spacing w:val="1"/>
        </w:rPr>
        <w:t>電話 </w:t>
      </w:r>
      <w:r>
        <w:rPr>
          <w:color w:val="333333"/>
          <w:spacing w:val="-55"/>
        </w:rPr>
        <w:t>：（</w:t>
      </w:r>
      <w:r>
        <w:rPr>
          <w:rFonts w:ascii="FangSong" w:hAnsi="FangSong" w:eastAsia="FangSong" w:cs="FangSong"/>
          <w:color w:val="333333"/>
          <w:spacing w:val="1"/>
        </w:rPr>
        <w:t>+86</w:t>
      </w:r>
      <w:r>
        <w:rPr>
          <w:color w:val="333333"/>
          <w:spacing w:val="1"/>
        </w:rPr>
        <w:t>）</w:t>
      </w:r>
      <w:r>
        <w:rPr>
          <w:rFonts w:ascii="FangSong" w:hAnsi="FangSong" w:eastAsia="FangSong" w:cs="FangSong"/>
          <w:color w:val="333333"/>
          <w:spacing w:val="1"/>
        </w:rPr>
        <w:t>20-39366232</w:t>
      </w:r>
      <w:r>
        <w:rPr>
          <w:rFonts w:ascii="FangSong" w:hAnsi="FangSong" w:eastAsia="FangSong" w:cs="FangSong"/>
          <w:color w:val="333333"/>
        </w:rPr>
        <w:t xml:space="preserve"> </w:t>
      </w:r>
      <w:r>
        <w:rPr>
          <w:color w:val="333333"/>
          <w:spacing w:val="-4"/>
        </w:rPr>
        <w:t>電郵 ：</w:t>
      </w:r>
      <w:r>
        <w:rPr>
          <w:rFonts w:ascii="Calibri" w:hAnsi="Calibri" w:eastAsia="Calibri" w:cs="Calibri"/>
          <w:spacing w:val="-4"/>
        </w:rPr>
        <w:t>zhaosb@gzhu.edu.cn</w:t>
      </w:r>
      <w:r>
        <w:rPr>
          <w:rFonts w:ascii="Calibri" w:hAnsi="Calibri" w:eastAsia="Calibri" w:cs="Calibri"/>
        </w:rPr>
        <w:t xml:space="preserve">  </w:t>
      </w:r>
      <w:r>
        <w:rPr>
          <w:color w:val="333333"/>
          <w:spacing w:val="2"/>
        </w:rPr>
        <w:t>傳真</w:t>
      </w:r>
      <w:r>
        <w:rPr>
          <w:color w:val="333333"/>
          <w:spacing w:val="-19"/>
        </w:rPr>
        <w:t>：（</w:t>
      </w:r>
      <w:r>
        <w:rPr>
          <w:rFonts w:ascii="FangSong" w:hAnsi="FangSong" w:eastAsia="FangSong" w:cs="FangSong"/>
          <w:color w:val="333333"/>
          <w:spacing w:val="2"/>
        </w:rPr>
        <w:t>+86</w:t>
      </w:r>
      <w:r>
        <w:rPr>
          <w:color w:val="333333"/>
          <w:spacing w:val="2"/>
        </w:rPr>
        <w:t>）</w:t>
      </w:r>
      <w:r>
        <w:rPr>
          <w:rFonts w:ascii="FangSong" w:hAnsi="FangSong" w:eastAsia="FangSong" w:cs="FangSong"/>
          <w:color w:val="333333"/>
          <w:spacing w:val="2"/>
        </w:rPr>
        <w:t>20-39366069</w:t>
      </w:r>
    </w:p>
    <w:p>
      <w:pPr>
        <w:pStyle w:val="BodyText"/>
        <w:ind w:left="579"/>
        <w:spacing w:before="13" w:line="192" w:lineRule="auto"/>
        <w:rPr>
          <w:rFonts w:ascii="FangSong" w:hAnsi="FangSong" w:eastAsia="FangSong" w:cs="FangSong"/>
        </w:rPr>
      </w:pPr>
      <w:r>
        <w:rPr>
          <w:color w:val="333333"/>
          <w:spacing w:val="-1"/>
        </w:rPr>
        <w:t>網址：</w:t>
      </w:r>
      <w:r>
        <w:rPr>
          <w:rFonts w:ascii="FangSong" w:hAnsi="FangSong" w:eastAsia="FangSong" w:cs="FangSong"/>
          <w:color w:val="333333"/>
          <w:spacing w:val="-1"/>
        </w:rPr>
        <w:t>http://zsjy.gzhu.edu.cn</w:t>
      </w:r>
    </w:p>
    <w:p>
      <w:pPr>
        <w:pStyle w:val="BodyText"/>
        <w:ind w:left="23" w:right="11" w:firstLine="556"/>
        <w:spacing w:before="257" w:line="309" w:lineRule="auto"/>
        <w:rPr>
          <w:rFonts w:ascii="FangSong" w:hAnsi="FangSong" w:eastAsia="FangSong" w:cs="FangSong"/>
        </w:rPr>
      </w:pPr>
      <w:r>
        <w:rPr>
          <w:color w:val="333333"/>
          <w:spacing w:val="-4"/>
        </w:rPr>
        <w:t>單位位址、郵遞區號 ：廣東省廣州市番禺區大學城外環西路 </w:t>
      </w:r>
      <w:r>
        <w:rPr>
          <w:rFonts w:ascii="FangSong" w:hAnsi="FangSong" w:eastAsia="FangSong" w:cs="FangSong"/>
          <w:color w:val="333333"/>
          <w:spacing w:val="-4"/>
        </w:rPr>
        <w:t>230</w:t>
      </w:r>
      <w:r>
        <w:rPr>
          <w:rFonts w:ascii="FangSong" w:hAnsi="FangSong" w:eastAsia="FangSong" w:cs="FangSong"/>
          <w:color w:val="333333"/>
        </w:rPr>
        <w:t xml:space="preserve"> </w:t>
      </w:r>
      <w:r>
        <w:rPr>
          <w:color w:val="333333"/>
          <w:spacing w:val="-13"/>
        </w:rPr>
        <w:t>號</w:t>
      </w:r>
      <w:r>
        <w:rPr>
          <w:color w:val="333333"/>
          <w:spacing w:val="35"/>
        </w:rPr>
        <w:t xml:space="preserve">  </w:t>
      </w:r>
      <w:r>
        <w:rPr>
          <w:color w:val="333333"/>
          <w:spacing w:val="-13"/>
        </w:rPr>
        <w:t>、</w:t>
      </w:r>
      <w:r>
        <w:rPr>
          <w:rFonts w:ascii="FangSong" w:hAnsi="FangSong" w:eastAsia="FangSong" w:cs="FangSong"/>
          <w:color w:val="333333"/>
          <w:spacing w:val="-13"/>
        </w:rPr>
        <w:t>510006</w:t>
      </w:r>
    </w:p>
    <w:p>
      <w:pPr>
        <w:pStyle w:val="BodyText"/>
        <w:ind w:left="573"/>
        <w:spacing w:before="2" w:line="184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2428265</wp:posOffset>
            </wp:positionH>
            <wp:positionV relativeFrom="paragraph">
              <wp:posOffset>119128</wp:posOffset>
            </wp:positionV>
            <wp:extent cx="878204" cy="878205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878204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7"/>
        </w:rPr>
        <w:t>微信公眾號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7"/>
        </w:rPr>
        <w:t>：廣大招生</w:t>
      </w:r>
    </w:p>
    <w:p>
      <w:pPr>
        <w:spacing w:line="184" w:lineRule="auto"/>
        <w:sectPr>
          <w:footerReference w:type="default" r:id="rId11"/>
          <w:pgSz w:w="11907" w:h="16839"/>
          <w:pgMar w:top="1431" w:right="1785" w:bottom="1373" w:left="1785" w:header="0" w:footer="1209" w:gutter="0"/>
        </w:sectPr>
        <w:rPr/>
      </w:pPr>
    </w:p>
    <w:p>
      <w:pPr>
        <w:pStyle w:val="BodyText"/>
        <w:ind w:left="130"/>
        <w:spacing w:before="189" w:line="186" w:lineRule="auto"/>
        <w:outlineLvl w:val="1"/>
        <w:rPr>
          <w:rFonts w:ascii="FangSong" w:hAnsi="FangSong" w:eastAsia="FangSong" w:cs="FangSong"/>
        </w:rPr>
      </w:pPr>
      <w:r>
        <w:rPr>
          <w:b/>
          <w:bCs/>
          <w:spacing w:val="-7"/>
        </w:rPr>
        <w:t>附件</w:t>
      </w:r>
      <w:r>
        <w:rPr>
          <w:b/>
          <w:bCs/>
          <w:spacing w:val="16"/>
        </w:rPr>
        <w:t xml:space="preserve"> </w:t>
      </w:r>
      <w:r>
        <w:rPr>
          <w:rFonts w:ascii="FangSong" w:hAnsi="FangSong" w:eastAsia="FangSong" w:cs="FangSong"/>
          <w:b/>
          <w:bCs/>
          <w:spacing w:val="-7"/>
        </w:rPr>
        <w:t>1</w:t>
      </w:r>
    </w:p>
    <w:p>
      <w:pPr>
        <w:pStyle w:val="BodyText"/>
        <w:ind w:left="537"/>
        <w:spacing w:before="233" w:line="189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6"/>
        </w:rPr>
        <w:t>廣州大學 </w:t>
      </w:r>
      <w:r>
        <w:rPr>
          <w:rFonts w:ascii="FangSong" w:hAnsi="FangSong" w:eastAsia="FangSong" w:cs="FangSong"/>
          <w:sz w:val="31"/>
          <w:szCs w:val="31"/>
          <w:b/>
          <w:bCs/>
          <w:spacing w:val="6"/>
        </w:rPr>
        <w:t>2024</w:t>
      </w:r>
      <w:r>
        <w:rPr>
          <w:rFonts w:ascii="FangSong" w:hAnsi="FangSong" w:eastAsia="FangSong" w:cs="FangSong"/>
          <w:sz w:val="31"/>
          <w:szCs w:val="31"/>
          <w:spacing w:val="-68"/>
        </w:rPr>
        <w:t xml:space="preserve"> </w:t>
      </w:r>
      <w:r>
        <w:rPr>
          <w:sz w:val="31"/>
          <w:szCs w:val="31"/>
          <w:b/>
          <w:bCs/>
          <w:spacing w:val="6"/>
        </w:rPr>
        <w:t>年澳門</w:t>
      </w:r>
      <w:r>
        <w:rPr>
          <w:sz w:val="31"/>
          <w:szCs w:val="31"/>
          <w:b/>
          <w:bCs/>
          <w:spacing w:val="-53"/>
        </w:rPr>
        <w:t xml:space="preserve"> </w:t>
      </w:r>
      <w:r>
        <w:rPr>
          <w:sz w:val="31"/>
          <w:szCs w:val="31"/>
          <w:b/>
          <w:bCs/>
          <w:spacing w:val="6"/>
        </w:rPr>
        <w:t>“四校聯考”入學</w:t>
      </w:r>
      <w:r>
        <w:rPr>
          <w:sz w:val="31"/>
          <w:szCs w:val="31"/>
          <w:b/>
          <w:bCs/>
          <w:spacing w:val="5"/>
        </w:rPr>
        <w:t>申請表</w:t>
      </w:r>
    </w:p>
    <w:p>
      <w:pPr>
        <w:spacing w:line="43" w:lineRule="exact"/>
        <w:rPr/>
      </w:pPr>
      <w:r/>
    </w:p>
    <w:tbl>
      <w:tblPr>
        <w:tblStyle w:val="TableNormal"/>
        <w:tblW w:w="852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708"/>
        <w:gridCol w:w="247"/>
        <w:gridCol w:w="1456"/>
        <w:gridCol w:w="1703"/>
        <w:gridCol w:w="240"/>
        <w:gridCol w:w="1464"/>
        <w:gridCol w:w="1710"/>
      </w:tblGrid>
      <w:tr>
        <w:trPr>
          <w:trHeight w:val="321" w:hRule="atLeast"/>
        </w:trPr>
        <w:tc>
          <w:tcPr>
            <w:tcW w:w="8528" w:type="dxa"/>
            <w:vAlign w:val="top"/>
            <w:gridSpan w:val="7"/>
          </w:tcPr>
          <w:p>
            <w:pPr>
              <w:pStyle w:val="TableText"/>
              <w:ind w:left="3843"/>
              <w:spacing w:before="54" w:line="171" w:lineRule="auto"/>
              <w:rPr/>
            </w:pPr>
            <w:r>
              <w:rPr>
                <w:b/>
                <w:bCs/>
                <w:spacing w:val="-1"/>
              </w:rPr>
              <w:t>個人信息</w:t>
            </w:r>
          </w:p>
        </w:tc>
      </w:tr>
      <w:tr>
        <w:trPr>
          <w:trHeight w:val="316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ind w:left="110"/>
              <w:spacing w:before="49" w:line="171" w:lineRule="auto"/>
              <w:rPr/>
            </w:pPr>
            <w:r>
              <w:rPr/>
              <w:t>姓名（中文名）</w:t>
            </w:r>
          </w:p>
        </w:tc>
        <w:tc>
          <w:tcPr>
            <w:tcW w:w="1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pStyle w:val="TableText"/>
              <w:ind w:left="108"/>
              <w:spacing w:before="49" w:line="171" w:lineRule="auto"/>
              <w:rPr/>
            </w:pPr>
            <w:r>
              <w:rPr>
                <w:spacing w:val="-1"/>
              </w:rPr>
              <w:t>性別</w:t>
            </w:r>
          </w:p>
        </w:tc>
        <w:tc>
          <w:tcPr>
            <w:tcW w:w="17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17"/>
              <w:spacing w:before="48" w:line="186" w:lineRule="auto"/>
              <w:rPr/>
            </w:pPr>
            <w:r>
              <w:rPr>
                <w:spacing w:val="-2"/>
              </w:rPr>
              <w:t>貼照片處</w:t>
            </w:r>
          </w:p>
        </w:tc>
      </w:tr>
      <w:tr>
        <w:trPr>
          <w:trHeight w:val="316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ind w:left="110"/>
              <w:spacing w:before="50" w:line="170" w:lineRule="auto"/>
              <w:rPr/>
            </w:pPr>
            <w:r>
              <w:rPr/>
              <w:t>姓名（英文名）</w:t>
            </w:r>
          </w:p>
        </w:tc>
        <w:tc>
          <w:tcPr>
            <w:tcW w:w="1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pStyle w:val="TableText"/>
              <w:ind w:left="124"/>
              <w:spacing w:before="50" w:line="170" w:lineRule="auto"/>
              <w:rPr/>
            </w:pPr>
            <w:r>
              <w:rPr>
                <w:spacing w:val="-5"/>
              </w:rPr>
              <w:t>出生日期</w:t>
            </w:r>
          </w:p>
        </w:tc>
        <w:tc>
          <w:tcPr>
            <w:tcW w:w="17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943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ind w:left="114"/>
              <w:spacing w:before="52" w:line="187" w:lineRule="auto"/>
              <w:rPr/>
            </w:pPr>
            <w:r>
              <w:rPr>
                <w:spacing w:val="-1"/>
              </w:rPr>
              <w:t>身份證號碼</w:t>
            </w:r>
          </w:p>
        </w:tc>
        <w:tc>
          <w:tcPr>
            <w:tcW w:w="1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pStyle w:val="TableText"/>
              <w:ind w:left="107" w:right="101" w:hanging="5"/>
              <w:spacing w:before="54" w:line="195" w:lineRule="auto"/>
              <w:jc w:val="both"/>
              <w:rPr/>
            </w:pPr>
            <w:r>
              <w:rPr>
                <w:spacing w:val="3"/>
              </w:rPr>
              <w:t>《港澳居民來往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大陸通行證》號 </w:t>
            </w:r>
            <w:r>
              <w:rPr/>
              <w:t>碼</w:t>
            </w:r>
          </w:p>
        </w:tc>
        <w:tc>
          <w:tcPr>
            <w:tcW w:w="17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ind w:left="110"/>
              <w:spacing w:before="50" w:line="170" w:lineRule="auto"/>
              <w:rPr/>
            </w:pPr>
            <w:r>
              <w:rPr/>
              <w:t>現就讀中學名稱</w:t>
            </w:r>
          </w:p>
        </w:tc>
        <w:tc>
          <w:tcPr>
            <w:tcW w:w="1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pStyle w:val="TableText"/>
              <w:ind w:left="108"/>
              <w:spacing w:before="50" w:line="170" w:lineRule="auto"/>
              <w:rPr/>
            </w:pPr>
            <w:r>
              <w:rPr/>
              <w:t>行動電話</w:t>
            </w:r>
          </w:p>
        </w:tc>
        <w:tc>
          <w:tcPr>
            <w:tcW w:w="17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spacing w:before="51" w:line="170" w:lineRule="auto"/>
              <w:jc w:val="right"/>
              <w:rPr/>
            </w:pPr>
            <w:r>
              <w:rPr>
                <w:spacing w:val="-6"/>
              </w:rPr>
              <w:t>聯繫電話（含區號）</w:t>
            </w:r>
          </w:p>
        </w:tc>
        <w:tc>
          <w:tcPr>
            <w:tcW w:w="1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pStyle w:val="TableText"/>
              <w:ind w:left="111"/>
              <w:spacing w:before="51" w:line="170" w:lineRule="auto"/>
              <w:rPr/>
            </w:pPr>
            <w:r>
              <w:rPr>
                <w:spacing w:val="-1"/>
              </w:rPr>
              <w:t>電子郵箱</w:t>
            </w:r>
          </w:p>
        </w:tc>
        <w:tc>
          <w:tcPr>
            <w:tcW w:w="3414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8528" w:type="dxa"/>
            <w:vAlign w:val="top"/>
            <w:gridSpan w:val="7"/>
          </w:tcPr>
          <w:p>
            <w:pPr>
              <w:pStyle w:val="TableText"/>
              <w:ind w:left="3450"/>
              <w:spacing w:before="50" w:line="170" w:lineRule="auto"/>
              <w:rPr/>
            </w:pPr>
            <w:r>
              <w:rPr>
                <w:b/>
                <w:bCs/>
                <w:spacing w:val="-4"/>
              </w:rPr>
              <w:t>“四校聯考”成績</w:t>
            </w:r>
          </w:p>
        </w:tc>
      </w:tr>
      <w:tr>
        <w:trPr>
          <w:trHeight w:val="316" w:hRule="atLeast"/>
        </w:trPr>
        <w:tc>
          <w:tcPr>
            <w:tcW w:w="8528" w:type="dxa"/>
            <w:vAlign w:val="top"/>
            <w:gridSpan w:val="7"/>
          </w:tcPr>
          <w:p>
            <w:pPr>
              <w:pStyle w:val="TableText"/>
              <w:ind w:left="134"/>
              <w:spacing w:before="52" w:line="169" w:lineRule="auto"/>
              <w:rPr/>
            </w:pPr>
            <w:r>
              <w:rPr>
                <w:spacing w:val="1"/>
              </w:rPr>
              <w:t>中文：                        </w:t>
            </w:r>
            <w:r>
              <w:rPr/>
              <w:t xml:space="preserve">           英文：                         數學</w:t>
            </w:r>
            <w:r>
              <w:rPr>
                <w:spacing w:val="-15"/>
              </w:rPr>
              <w:t xml:space="preserve"> </w:t>
            </w:r>
            <w:r>
              <w:rPr/>
              <w:t>：</w:t>
            </w:r>
          </w:p>
        </w:tc>
      </w:tr>
      <w:tr>
        <w:trPr>
          <w:trHeight w:val="316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7"/>
              <w:spacing w:before="52" w:line="169" w:lineRule="auto"/>
              <w:rPr/>
            </w:pPr>
            <w:r>
              <w:rPr>
                <w:spacing w:val="-2"/>
              </w:rPr>
              <w:t>通訊位址</w:t>
            </w:r>
          </w:p>
        </w:tc>
        <w:tc>
          <w:tcPr>
            <w:tcW w:w="340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4" w:type="dxa"/>
            <w:vAlign w:val="top"/>
            <w:gridSpan w:val="2"/>
          </w:tcPr>
          <w:p>
            <w:pPr>
              <w:pStyle w:val="TableText"/>
              <w:ind w:left="113"/>
              <w:spacing w:before="52" w:line="169" w:lineRule="auto"/>
              <w:rPr/>
            </w:pPr>
            <w:r>
              <w:rPr>
                <w:spacing w:val="-2"/>
              </w:rPr>
              <w:t>郵政編號</w:t>
            </w:r>
          </w:p>
        </w:tc>
        <w:tc>
          <w:tcPr>
            <w:tcW w:w="1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31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0" w:right="541" w:firstLine="13"/>
              <w:spacing w:before="56" w:line="188" w:lineRule="auto"/>
              <w:rPr/>
            </w:pPr>
            <w:r>
              <w:rPr>
                <w:spacing w:val="-3"/>
              </w:rPr>
              <w:t>緊急聯絡人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姓名</w:t>
            </w:r>
          </w:p>
        </w:tc>
        <w:tc>
          <w:tcPr>
            <w:tcW w:w="3406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4" w:type="dxa"/>
            <w:vAlign w:val="top"/>
            <w:gridSpan w:val="2"/>
          </w:tcPr>
          <w:p>
            <w:pPr>
              <w:pStyle w:val="TableText"/>
              <w:ind w:left="113" w:right="538" w:firstLine="9"/>
              <w:spacing w:before="56" w:line="188" w:lineRule="auto"/>
              <w:rPr/>
            </w:pPr>
            <w:r>
              <w:rPr>
                <w:spacing w:val="-3"/>
              </w:rPr>
              <w:t>緊急聯絡人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電話</w:t>
            </w:r>
          </w:p>
        </w:tc>
        <w:tc>
          <w:tcPr>
            <w:tcW w:w="1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8528" w:type="dxa"/>
            <w:vAlign w:val="top"/>
            <w:gridSpan w:val="7"/>
          </w:tcPr>
          <w:p>
            <w:pPr>
              <w:pStyle w:val="TableText"/>
              <w:ind w:left="3655"/>
              <w:spacing w:before="53" w:line="169" w:lineRule="auto"/>
              <w:rPr/>
            </w:pPr>
            <w:r>
              <w:rPr>
                <w:b/>
                <w:bCs/>
                <w:spacing w:val="-4"/>
              </w:rPr>
              <w:t>中學教育情況</w:t>
            </w:r>
          </w:p>
        </w:tc>
      </w:tr>
      <w:tr>
        <w:trPr>
          <w:trHeight w:val="628" w:hRule="atLeast"/>
        </w:trPr>
        <w:tc>
          <w:tcPr>
            <w:tcW w:w="1708" w:type="dxa"/>
            <w:vAlign w:val="top"/>
          </w:tcPr>
          <w:p>
            <w:pPr>
              <w:pStyle w:val="TableText"/>
              <w:ind w:left="114"/>
              <w:spacing w:before="52" w:line="186" w:lineRule="auto"/>
              <w:rPr/>
            </w:pPr>
            <w:r>
              <w:rPr>
                <w:spacing w:val="-1"/>
              </w:rPr>
              <w:t>就讀中學名稱</w:t>
            </w:r>
          </w:p>
        </w:tc>
        <w:tc>
          <w:tcPr>
            <w:tcW w:w="1703" w:type="dxa"/>
            <w:vAlign w:val="top"/>
            <w:gridSpan w:val="2"/>
          </w:tcPr>
          <w:p>
            <w:pPr>
              <w:pStyle w:val="TableText"/>
              <w:ind w:left="114"/>
              <w:spacing w:before="52" w:line="186" w:lineRule="auto"/>
              <w:rPr/>
            </w:pPr>
            <w:r>
              <w:rPr>
                <w:spacing w:val="-2"/>
              </w:rPr>
              <w:t>市、縣名稱</w:t>
            </w:r>
          </w:p>
        </w:tc>
        <w:tc>
          <w:tcPr>
            <w:tcW w:w="1703" w:type="dxa"/>
            <w:vAlign w:val="top"/>
          </w:tcPr>
          <w:p>
            <w:pPr>
              <w:pStyle w:val="TableText"/>
              <w:ind w:left="118"/>
              <w:spacing w:before="52" w:line="187" w:lineRule="auto"/>
              <w:rPr/>
            </w:pPr>
            <w:r>
              <w:rPr>
                <w:spacing w:val="-3"/>
              </w:rPr>
              <w:t>開始時間</w:t>
            </w:r>
          </w:p>
        </w:tc>
        <w:tc>
          <w:tcPr>
            <w:tcW w:w="1704" w:type="dxa"/>
            <w:vAlign w:val="top"/>
            <w:gridSpan w:val="2"/>
          </w:tcPr>
          <w:p>
            <w:pPr>
              <w:pStyle w:val="TableText"/>
              <w:ind w:left="113"/>
              <w:spacing w:before="52" w:line="187" w:lineRule="auto"/>
              <w:rPr/>
            </w:pPr>
            <w:r>
              <w:rPr>
                <w:spacing w:val="-2"/>
              </w:rPr>
              <w:t>終止時間</w:t>
            </w:r>
          </w:p>
        </w:tc>
        <w:tc>
          <w:tcPr>
            <w:tcW w:w="1710" w:type="dxa"/>
            <w:vAlign w:val="top"/>
          </w:tcPr>
          <w:p>
            <w:pPr>
              <w:pStyle w:val="TableText"/>
              <w:ind w:left="113" w:right="122"/>
              <w:spacing w:before="53" w:line="188" w:lineRule="auto"/>
              <w:rPr/>
            </w:pPr>
            <w:r>
              <w:rPr>
                <w:spacing w:val="-1"/>
              </w:rPr>
              <w:t>受教育程度（如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高中）</w:t>
            </w:r>
          </w:p>
        </w:tc>
      </w:tr>
      <w:tr>
        <w:trPr>
          <w:trHeight w:val="317" w:hRule="atLeast"/>
        </w:trPr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0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8528" w:type="dxa"/>
            <w:vAlign w:val="top"/>
            <w:gridSpan w:val="7"/>
          </w:tcPr>
          <w:p>
            <w:pPr>
              <w:pStyle w:val="TableText"/>
              <w:ind w:left="3635"/>
              <w:spacing w:before="55" w:line="169" w:lineRule="auto"/>
              <w:rPr/>
            </w:pPr>
            <w:r>
              <w:rPr>
                <w:b/>
                <w:bCs/>
                <w:spacing w:val="-1"/>
              </w:rPr>
              <w:t>家庭主要成員</w:t>
            </w:r>
          </w:p>
        </w:tc>
      </w:tr>
      <w:tr>
        <w:trPr>
          <w:trHeight w:val="317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ind w:left="110"/>
              <w:spacing w:before="53" w:line="169" w:lineRule="auto"/>
              <w:rPr/>
            </w:pPr>
            <w:r>
              <w:rPr>
                <w:spacing w:val="-1"/>
              </w:rPr>
              <w:t>姓名</w:t>
            </w:r>
          </w:p>
        </w:tc>
        <w:tc>
          <w:tcPr>
            <w:tcW w:w="3399" w:type="dxa"/>
            <w:vAlign w:val="top"/>
            <w:gridSpan w:val="3"/>
          </w:tcPr>
          <w:p>
            <w:pPr>
              <w:pStyle w:val="TableText"/>
              <w:ind w:left="107"/>
              <w:spacing w:before="53" w:line="169" w:lineRule="auto"/>
              <w:rPr/>
            </w:pPr>
            <w:r>
              <w:rPr/>
              <w:t>與本人關係</w:t>
            </w:r>
          </w:p>
        </w:tc>
        <w:tc>
          <w:tcPr>
            <w:tcW w:w="3174" w:type="dxa"/>
            <w:vAlign w:val="top"/>
            <w:gridSpan w:val="2"/>
          </w:tcPr>
          <w:p>
            <w:pPr>
              <w:pStyle w:val="TableText"/>
              <w:ind w:left="109"/>
              <w:spacing w:before="53" w:line="169" w:lineRule="auto"/>
              <w:rPr/>
            </w:pPr>
            <w:r>
              <w:rPr>
                <w:spacing w:val="-6"/>
              </w:rPr>
              <w:t>工作單位名稱 、任何職務</w:t>
            </w:r>
          </w:p>
        </w:tc>
      </w:tr>
      <w:tr>
        <w:trPr>
          <w:trHeight w:val="316" w:hRule="atLeast"/>
        </w:trPr>
        <w:tc>
          <w:tcPr>
            <w:tcW w:w="195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9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7" w:hRule="atLeast"/>
        </w:trPr>
        <w:tc>
          <w:tcPr>
            <w:tcW w:w="195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9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55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399" w:type="dxa"/>
            <w:vAlign w:val="top"/>
            <w:gridSpan w:val="3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1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6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ind w:left="134"/>
              <w:spacing w:before="53" w:line="168" w:lineRule="auto"/>
              <w:rPr/>
            </w:pPr>
            <w:r>
              <w:rPr>
                <w:spacing w:val="-4"/>
              </w:rPr>
              <w:t>申請專業志願一</w:t>
            </w:r>
          </w:p>
        </w:tc>
        <w:tc>
          <w:tcPr>
            <w:tcW w:w="1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43" w:type="dxa"/>
            <w:vAlign w:val="top"/>
            <w:gridSpan w:val="2"/>
          </w:tcPr>
          <w:p>
            <w:pPr>
              <w:pStyle w:val="TableText"/>
              <w:ind w:left="131"/>
              <w:spacing w:before="53" w:line="168" w:lineRule="auto"/>
              <w:rPr/>
            </w:pPr>
            <w:r>
              <w:rPr>
                <w:spacing w:val="-4"/>
              </w:rPr>
              <w:t>申請專業志願二</w:t>
            </w:r>
          </w:p>
        </w:tc>
        <w:tc>
          <w:tcPr>
            <w:tcW w:w="31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4" w:hRule="atLeast"/>
        </w:trPr>
        <w:tc>
          <w:tcPr>
            <w:tcW w:w="1955" w:type="dxa"/>
            <w:vAlign w:val="top"/>
            <w:gridSpan w:val="2"/>
          </w:tcPr>
          <w:p>
            <w:pPr>
              <w:pStyle w:val="TableText"/>
              <w:ind w:left="134"/>
              <w:spacing w:before="57" w:line="171" w:lineRule="auto"/>
              <w:rPr/>
            </w:pPr>
            <w:r>
              <w:rPr>
                <w:spacing w:val="-4"/>
              </w:rPr>
              <w:t>申請專業志願三</w:t>
            </w:r>
          </w:p>
        </w:tc>
        <w:tc>
          <w:tcPr>
            <w:tcW w:w="14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43" w:type="dxa"/>
            <w:vAlign w:val="top"/>
            <w:gridSpan w:val="2"/>
          </w:tcPr>
          <w:p>
            <w:pPr>
              <w:pStyle w:val="TableText"/>
              <w:ind w:left="131"/>
              <w:spacing w:before="57" w:line="171" w:lineRule="auto"/>
              <w:rPr/>
            </w:pPr>
            <w:r>
              <w:rPr>
                <w:spacing w:val="-4"/>
              </w:rPr>
              <w:t>申請專業志願四</w:t>
            </w:r>
          </w:p>
        </w:tc>
        <w:tc>
          <w:tcPr>
            <w:tcW w:w="3174" w:type="dxa"/>
            <w:vAlign w:val="top"/>
            <w:gridSpan w:val="2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spacing w:line="354" w:lineRule="auto"/>
        <w:rPr>
          <w:rFonts w:ascii="Arial"/>
          <w:sz w:val="21"/>
        </w:rPr>
      </w:pPr>
      <w:r/>
    </w:p>
    <w:p>
      <w:pPr>
        <w:spacing w:line="354" w:lineRule="auto"/>
        <w:rPr>
          <w:rFonts w:ascii="Arial"/>
          <w:sz w:val="21"/>
        </w:rPr>
      </w:pPr>
      <w:r/>
    </w:p>
    <w:p>
      <w:pPr>
        <w:pStyle w:val="BodyText"/>
        <w:spacing w:before="103" w:line="184" w:lineRule="auto"/>
        <w:jc w:val="right"/>
        <w:rPr>
          <w:sz w:val="24"/>
          <w:szCs w:val="24"/>
        </w:rPr>
      </w:pPr>
      <w:r>
        <w:rPr>
          <w:sz w:val="24"/>
          <w:szCs w:val="24"/>
          <w:b/>
          <w:bCs/>
          <w:spacing w:val="-5"/>
        </w:rPr>
        <w:t>以上內容已經本人核對無誤 ，如有不真實 ，所產生的一切後果由本人負責 。</w:t>
      </w: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536"/>
        <w:spacing w:before="103" w:line="185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1"/>
        </w:rPr>
        <w:t>考生簽名：                                           日期：      年</w:t>
      </w:r>
      <w:r>
        <w:rPr>
          <w:sz w:val="24"/>
          <w:szCs w:val="24"/>
          <w:b/>
          <w:bCs/>
          <w:spacing w:val="7"/>
        </w:rPr>
        <w:t xml:space="preserve">     </w:t>
      </w:r>
      <w:r>
        <w:rPr>
          <w:sz w:val="24"/>
          <w:szCs w:val="24"/>
          <w:b/>
          <w:bCs/>
          <w:spacing w:val="-1"/>
        </w:rPr>
        <w:t>月      日</w:t>
      </w:r>
    </w:p>
    <w:p>
      <w:pPr>
        <w:spacing w:line="185" w:lineRule="auto"/>
        <w:sectPr>
          <w:footerReference w:type="default" r:id="rId13"/>
          <w:pgSz w:w="11907" w:h="16839"/>
          <w:pgMar w:top="1431" w:right="1684" w:bottom="1372" w:left="1687" w:header="0" w:footer="1209" w:gutter="0"/>
        </w:sectPr>
        <w:rPr>
          <w:sz w:val="24"/>
          <w:szCs w:val="24"/>
        </w:rPr>
      </w:pPr>
    </w:p>
    <w:p>
      <w:pPr>
        <w:pStyle w:val="BodyText"/>
        <w:ind w:left="766"/>
        <w:spacing w:before="189" w:line="186" w:lineRule="auto"/>
        <w:outlineLvl w:val="1"/>
        <w:rPr>
          <w:rFonts w:ascii="FangSong" w:hAnsi="FangSong" w:eastAsia="FangSong" w:cs="FangSong"/>
        </w:rPr>
      </w:pPr>
      <w:r>
        <w:rPr>
          <w:b/>
          <w:bCs/>
          <w:spacing w:val="-7"/>
        </w:rPr>
        <w:t>附件</w:t>
      </w:r>
      <w:r>
        <w:rPr>
          <w:b/>
          <w:bCs/>
          <w:spacing w:val="9"/>
        </w:rPr>
        <w:t xml:space="preserve"> </w:t>
      </w:r>
      <w:r>
        <w:rPr>
          <w:rFonts w:ascii="FangSong" w:hAnsi="FangSong" w:eastAsia="FangSong" w:cs="FangSong"/>
          <w:b/>
          <w:bCs/>
          <w:spacing w:val="-7"/>
        </w:rPr>
        <w:t>2</w:t>
      </w:r>
    </w:p>
    <w:p>
      <w:pPr>
        <w:pStyle w:val="BodyText"/>
        <w:ind w:left="1208"/>
        <w:spacing w:before="241" w:line="181" w:lineRule="auto"/>
        <w:outlineLvl w:val="3"/>
        <w:rPr/>
      </w:pPr>
      <w:r>
        <w:rPr>
          <w:b/>
          <w:bCs/>
          <w:spacing w:val="-1"/>
        </w:rPr>
        <w:t>“澳門四高校聯合入學考試”（語言科及數</w:t>
      </w:r>
      <w:r>
        <w:rPr>
          <w:b/>
          <w:bCs/>
          <w:spacing w:val="-2"/>
        </w:rPr>
        <w:t>學科）”聲明書</w:t>
      </w:r>
    </w:p>
    <w:p>
      <w:pPr>
        <w:pStyle w:val="BodyText"/>
        <w:ind w:left="1280"/>
        <w:spacing w:before="218" w:line="186" w:lineRule="auto"/>
        <w:rPr>
          <w:sz w:val="21"/>
          <w:szCs w:val="21"/>
        </w:rPr>
      </w:pPr>
      <w:r>
        <w:rPr>
          <w:sz w:val="21"/>
          <w:szCs w:val="21"/>
          <w:spacing w:val="-2"/>
        </w:rPr>
        <w:t>本人</w:t>
      </w:r>
      <w:r>
        <w:rPr>
          <w:sz w:val="21"/>
          <w:szCs w:val="21"/>
          <w:u w:val="single" w:color="auto"/>
          <w:spacing w:val="-2"/>
        </w:rPr>
        <w:t xml:space="preserve">                                    </w:t>
      </w:r>
      <w:r>
        <w:rPr>
          <w:sz w:val="21"/>
          <w:szCs w:val="21"/>
          <w:spacing w:val="-2"/>
        </w:rPr>
        <w:t xml:space="preserve"> ，持澳門特別行政區居民身份證 ，</w:t>
      </w:r>
    </w:p>
    <w:p>
      <w:pPr>
        <w:pStyle w:val="BodyText"/>
        <w:ind w:left="751" w:right="510" w:firstLine="3"/>
        <w:spacing w:before="190" w:line="283" w:lineRule="auto"/>
        <w:rPr>
          <w:sz w:val="21"/>
          <w:szCs w:val="21"/>
        </w:rPr>
      </w:pPr>
      <w:r>
        <w:rPr>
          <w:sz w:val="21"/>
          <w:szCs w:val="21"/>
          <w:spacing w:val="8"/>
        </w:rPr>
        <w:t>號碼  </w:t>
      </w:r>
      <w:r>
        <w:rPr>
          <w:sz w:val="21"/>
          <w:szCs w:val="21"/>
          <w:u w:val="single" w:color="auto"/>
          <w:spacing w:val="8"/>
        </w:rPr>
        <w:t xml:space="preserve">                          </w:t>
      </w:r>
      <w:r>
        <w:rPr>
          <w:sz w:val="21"/>
          <w:szCs w:val="21"/>
          <w:spacing w:val="8"/>
        </w:rPr>
        <w:t xml:space="preserve"> （需提供證件副本</w:t>
      </w:r>
      <w:r>
        <w:rPr>
          <w:sz w:val="21"/>
          <w:szCs w:val="21"/>
          <w:spacing w:val="-41"/>
        </w:rPr>
        <w:t>），</w:t>
      </w:r>
      <w:r>
        <w:rPr>
          <w:sz w:val="21"/>
          <w:szCs w:val="21"/>
          <w:spacing w:val="-15"/>
        </w:rPr>
        <w:t xml:space="preserve"> </w:t>
      </w:r>
      <w:r>
        <w:rPr>
          <w:sz w:val="21"/>
          <w:szCs w:val="21"/>
          <w:spacing w:val="8"/>
        </w:rPr>
        <w:t>並持《港澳居民來往內地通行證》，號</w:t>
      </w:r>
      <w:r>
        <w:rPr>
          <w:sz w:val="21"/>
          <w:szCs w:val="21"/>
        </w:rPr>
        <w:t xml:space="preserve">     </w:t>
      </w:r>
      <w:r>
        <w:rPr>
          <w:sz w:val="21"/>
          <w:szCs w:val="21"/>
          <w:spacing w:val="-7"/>
        </w:rPr>
        <w:t>碼</w:t>
      </w:r>
      <w:r>
        <w:rPr>
          <w:sz w:val="21"/>
          <w:szCs w:val="21"/>
          <w:u w:val="single" w:color="auto"/>
          <w:spacing w:val="-7"/>
        </w:rPr>
        <w:t xml:space="preserve">                          </w:t>
      </w:r>
      <w:r>
        <w:rPr>
          <w:sz w:val="21"/>
          <w:szCs w:val="21"/>
          <w:u w:val="single" w:color="auto"/>
          <w:spacing w:val="-8"/>
        </w:rPr>
        <w:t xml:space="preserve">  </w:t>
      </w:r>
      <w:r>
        <w:rPr>
          <w:sz w:val="21"/>
          <w:szCs w:val="21"/>
          <w:spacing w:val="-8"/>
        </w:rPr>
        <w:t>，參加了</w:t>
      </w:r>
      <w:r>
        <w:rPr>
          <w:sz w:val="21"/>
          <w:szCs w:val="21"/>
          <w:position w:val="-4"/>
        </w:rPr>
        <w:drawing>
          <wp:inline distT="0" distB="0" distL="0" distR="0">
            <wp:extent cx="533400" cy="762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340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FangSong" w:hAnsi="FangSong" w:eastAsia="FangSong" w:cs="FangSong"/>
          <w:sz w:val="21"/>
          <w:szCs w:val="21"/>
          <w:spacing w:val="-8"/>
        </w:rPr>
        <w:t>/</w:t>
      </w:r>
      <w:r>
        <w:rPr>
          <w:sz w:val="21"/>
          <w:szCs w:val="21"/>
          <w:spacing w:val="-8"/>
        </w:rPr>
        <w:t>學年“澳門四高校聯合入學考試（語言科及數學科）”。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1"/>
        </w:rPr>
        <w:t>相關成績如下：</w:t>
      </w:r>
    </w:p>
    <w:tbl>
      <w:tblPr>
        <w:tblStyle w:val="TableNormal"/>
        <w:tblW w:w="8528" w:type="dxa"/>
        <w:tblInd w:w="638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135"/>
        <w:gridCol w:w="2128"/>
        <w:gridCol w:w="2130"/>
        <w:gridCol w:w="2135"/>
      </w:tblGrid>
      <w:tr>
        <w:trPr>
          <w:trHeight w:val="476" w:hRule="atLeast"/>
        </w:trPr>
        <w:tc>
          <w:tcPr>
            <w:tcW w:w="2135" w:type="dxa"/>
            <w:vAlign w:val="top"/>
          </w:tcPr>
          <w:p>
            <w:pPr>
              <w:pStyle w:val="TableText"/>
              <w:ind w:left="110"/>
              <w:spacing w:before="133" w:line="185" w:lineRule="auto"/>
              <w:rPr/>
            </w:pPr>
            <w:r>
              <w:rPr>
                <w:b/>
                <w:bCs/>
              </w:rPr>
              <w:t>參加科目</w:t>
            </w:r>
          </w:p>
        </w:tc>
        <w:tc>
          <w:tcPr>
            <w:tcW w:w="2128" w:type="dxa"/>
            <w:vAlign w:val="top"/>
          </w:tcPr>
          <w:p>
            <w:pPr>
              <w:pStyle w:val="TableText"/>
              <w:ind w:left="111"/>
              <w:spacing w:before="133" w:line="185" w:lineRule="auto"/>
              <w:rPr/>
            </w:pPr>
            <w:r>
              <w:rPr>
                <w:b/>
                <w:bCs/>
                <w:spacing w:val="-3"/>
              </w:rPr>
              <w:t>分數</w:t>
            </w:r>
          </w:p>
        </w:tc>
        <w:tc>
          <w:tcPr>
            <w:tcW w:w="2130" w:type="dxa"/>
            <w:vAlign w:val="top"/>
          </w:tcPr>
          <w:p>
            <w:pPr>
              <w:pStyle w:val="TableText"/>
              <w:ind w:left="108"/>
              <w:spacing w:before="133" w:line="185" w:lineRule="auto"/>
              <w:rPr/>
            </w:pPr>
            <w:r>
              <w:rPr>
                <w:b/>
                <w:bCs/>
              </w:rPr>
              <w:t>參加科目</w:t>
            </w:r>
          </w:p>
        </w:tc>
        <w:tc>
          <w:tcPr>
            <w:tcW w:w="2135" w:type="dxa"/>
            <w:vAlign w:val="top"/>
          </w:tcPr>
          <w:p>
            <w:pPr>
              <w:pStyle w:val="TableText"/>
              <w:ind w:left="114"/>
              <w:spacing w:before="133" w:line="185" w:lineRule="auto"/>
              <w:rPr/>
            </w:pPr>
            <w:r>
              <w:rPr>
                <w:b/>
                <w:bCs/>
                <w:spacing w:val="-3"/>
              </w:rPr>
              <w:t>分數</w:t>
            </w:r>
          </w:p>
        </w:tc>
      </w:tr>
      <w:tr>
        <w:trPr>
          <w:trHeight w:val="472" w:hRule="atLeast"/>
        </w:trPr>
        <w:tc>
          <w:tcPr>
            <w:tcW w:w="2135" w:type="dxa"/>
            <w:vAlign w:val="top"/>
          </w:tcPr>
          <w:p>
            <w:pPr>
              <w:pStyle w:val="TableText"/>
              <w:ind w:left="117"/>
              <w:spacing w:before="130" w:line="186" w:lineRule="auto"/>
              <w:rPr/>
            </w:pPr>
            <w:r>
              <w:rPr>
                <w:spacing w:val="13"/>
              </w:rPr>
              <w:t>□中文正卷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ind w:left="115"/>
              <w:spacing w:before="130" w:line="186" w:lineRule="auto"/>
              <w:rPr/>
            </w:pPr>
            <w:r>
              <w:rPr>
                <w:spacing w:val="11"/>
              </w:rPr>
              <w:t>□中文附加卷</w:t>
            </w:r>
          </w:p>
        </w:tc>
        <w:tc>
          <w:tcPr>
            <w:tcW w:w="21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2" w:hRule="atLeast"/>
        </w:trPr>
        <w:tc>
          <w:tcPr>
            <w:tcW w:w="2135" w:type="dxa"/>
            <w:vAlign w:val="top"/>
          </w:tcPr>
          <w:p>
            <w:pPr>
              <w:pStyle w:val="TableText"/>
              <w:ind w:left="117"/>
              <w:spacing w:before="131" w:line="185" w:lineRule="auto"/>
              <w:rPr/>
            </w:pPr>
            <w:r>
              <w:rPr>
                <w:spacing w:val="13"/>
              </w:rPr>
              <w:t>□數學正卷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ind w:left="115"/>
              <w:spacing w:before="131" w:line="185" w:lineRule="auto"/>
              <w:rPr/>
            </w:pPr>
            <w:r>
              <w:rPr>
                <w:spacing w:val="11"/>
              </w:rPr>
              <w:t>□數學附加卷</w:t>
            </w:r>
          </w:p>
        </w:tc>
        <w:tc>
          <w:tcPr>
            <w:tcW w:w="21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4" w:hRule="atLeast"/>
        </w:trPr>
        <w:tc>
          <w:tcPr>
            <w:tcW w:w="2135" w:type="dxa"/>
            <w:vAlign w:val="top"/>
          </w:tcPr>
          <w:p>
            <w:pPr>
              <w:pStyle w:val="TableText"/>
              <w:ind w:left="117"/>
              <w:spacing w:before="138" w:line="188" w:lineRule="auto"/>
              <w:rPr>
                <w:rFonts w:ascii="FangSong" w:hAnsi="FangSong" w:eastAsia="FangSong" w:cs="FangSong"/>
              </w:rPr>
            </w:pPr>
            <w:r>
              <w:rPr>
                <w:spacing w:val="16"/>
              </w:rPr>
              <w:t>□葡文</w:t>
            </w:r>
            <w:r>
              <w:rPr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pacing w:val="16"/>
              </w:rPr>
              <w:t>A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ind w:left="115"/>
              <w:spacing w:before="138" w:line="188" w:lineRule="auto"/>
              <w:rPr>
                <w:rFonts w:ascii="FangSong" w:hAnsi="FangSong" w:eastAsia="FangSong" w:cs="FangSong"/>
              </w:rPr>
            </w:pPr>
            <w:r>
              <w:rPr>
                <w:spacing w:val="16"/>
              </w:rPr>
              <w:t>□葡文</w:t>
            </w:r>
            <w:r>
              <w:rPr>
                <w:spacing w:val="-2"/>
              </w:rPr>
              <w:t xml:space="preserve"> </w:t>
            </w:r>
            <w:r>
              <w:rPr>
                <w:rFonts w:ascii="FangSong" w:hAnsi="FangSong" w:eastAsia="FangSong" w:cs="FangSong"/>
                <w:spacing w:val="16"/>
              </w:rPr>
              <w:t>B</w:t>
            </w:r>
          </w:p>
        </w:tc>
        <w:tc>
          <w:tcPr>
            <w:tcW w:w="21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76" w:hRule="atLeast"/>
        </w:trPr>
        <w:tc>
          <w:tcPr>
            <w:tcW w:w="2135" w:type="dxa"/>
            <w:vAlign w:val="top"/>
          </w:tcPr>
          <w:p>
            <w:pPr>
              <w:pStyle w:val="TableText"/>
              <w:ind w:left="117"/>
              <w:spacing w:before="132" w:line="186" w:lineRule="auto"/>
              <w:rPr/>
            </w:pPr>
            <w:r>
              <w:rPr>
                <w:spacing w:val="22"/>
              </w:rPr>
              <w:t>□英文</w:t>
            </w:r>
          </w:p>
        </w:tc>
        <w:tc>
          <w:tcPr>
            <w:tcW w:w="21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ind w:left="751" w:right="741" w:firstLine="423"/>
        <w:spacing w:before="126" w:line="310" w:lineRule="auto"/>
        <w:jc w:val="both"/>
        <w:rPr>
          <w:sz w:val="21"/>
          <w:szCs w:val="21"/>
        </w:rPr>
      </w:pPr>
      <w:r>
        <w:rPr>
          <w:sz w:val="21"/>
          <w:szCs w:val="21"/>
          <w:spacing w:val="-2"/>
        </w:rPr>
        <w:t>本人聲明上述一切資料及所申報的事項均屬</w:t>
      </w:r>
      <w:r>
        <w:rPr>
          <w:sz w:val="21"/>
          <w:szCs w:val="21"/>
          <w:spacing w:val="-3"/>
        </w:rPr>
        <w:t>實情，絕無虛訛，並同意將本人上述個人資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-2"/>
        </w:rPr>
        <w:t>料轉送澳門特別行政區政府高等教育局及相關澳門院校，以作核</w:t>
      </w:r>
      <w:r>
        <w:rPr>
          <w:sz w:val="21"/>
          <w:szCs w:val="21"/>
          <w:spacing w:val="-3"/>
        </w:rPr>
        <w:t>實本人“澳門四高校聯合入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spacing w:val="1"/>
        </w:rPr>
        <w:t>學考試（語言科及數學科）”成績之用。</w:t>
      </w:r>
    </w:p>
    <w:p>
      <w:pPr>
        <w:pStyle w:val="BodyText"/>
        <w:ind w:left="4988" w:right="1598" w:hanging="36"/>
        <w:spacing w:before="9" w:line="311" w:lineRule="auto"/>
        <w:rPr>
          <w:sz w:val="21"/>
          <w:szCs w:val="21"/>
        </w:rPr>
      </w:pPr>
      <w:r>
        <w:rPr>
          <w:sz w:val="21"/>
          <w:szCs w:val="21"/>
        </w:rPr>
        <w:t>聲明人簽署：</w:t>
      </w:r>
      <w:r>
        <w:rPr>
          <w:sz w:val="21"/>
          <w:szCs w:val="21"/>
          <w:u w:val="single" w:color="auto"/>
        </w:rPr>
        <w:t xml:space="preserve">                                </w:t>
      </w:r>
      <w:r>
        <w:rPr>
          <w:sz w:val="21"/>
          <w:szCs w:val="21"/>
          <w:spacing w:val="2"/>
        </w:rPr>
        <w:t xml:space="preserve"> </w:t>
      </w:r>
      <w:r>
        <w:rPr>
          <w:sz w:val="21"/>
          <w:szCs w:val="21"/>
          <w:spacing w:val="-5"/>
        </w:rPr>
        <w:t>日期：</w:t>
      </w:r>
      <w:r>
        <w:rPr>
          <w:sz w:val="21"/>
          <w:szCs w:val="21"/>
          <w:u w:val="single" w:color="auto"/>
          <w:spacing w:val="-5"/>
        </w:rPr>
        <w:t xml:space="preserve">                           </w:t>
      </w:r>
    </w:p>
    <w:p>
      <w:pPr>
        <w:spacing w:before="102"/>
        <w:rPr/>
      </w:pPr>
      <w:r/>
    </w:p>
    <w:tbl>
      <w:tblPr>
        <w:tblStyle w:val="TableNormal"/>
        <w:tblW w:w="9798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5640"/>
        <w:gridCol w:w="4158"/>
      </w:tblGrid>
      <w:tr>
        <w:trPr>
          <w:trHeight w:val="476" w:hRule="atLeast"/>
        </w:trPr>
        <w:tc>
          <w:tcPr>
            <w:tcW w:w="9798" w:type="dxa"/>
            <w:vAlign w:val="top"/>
            <w:gridSpan w:val="2"/>
          </w:tcPr>
          <w:p>
            <w:pPr>
              <w:pStyle w:val="TableText"/>
              <w:ind w:left="1868"/>
              <w:spacing w:before="133" w:line="181" w:lineRule="auto"/>
              <w:rPr/>
            </w:pPr>
            <w:r>
              <w:rPr>
                <w:b/>
                <w:bCs/>
                <w:spacing w:val="-1"/>
              </w:rPr>
              <w:t>由“澳門四高校聯合入學考試（語言科及數學科）”負責院校填寫</w:t>
            </w:r>
          </w:p>
        </w:tc>
      </w:tr>
      <w:tr>
        <w:trPr>
          <w:trHeight w:val="2346" w:hRule="atLeast"/>
        </w:trPr>
        <w:tc>
          <w:tcPr>
            <w:tcW w:w="5640" w:type="dxa"/>
            <w:vAlign w:val="top"/>
          </w:tcPr>
          <w:p>
            <w:pPr>
              <w:pStyle w:val="TableText"/>
              <w:ind w:left="110"/>
              <w:spacing w:before="129" w:line="186" w:lineRule="auto"/>
              <w:rPr/>
            </w:pPr>
            <w:r>
              <w:pict>
                <v:shape id="_x0000_s2" style="position:absolute;margin-left:-276.36pt;margin-top:87.18pt;mso-position-vertical-relative:top-margin-area;mso-position-horizontal-relative:right-margin-area;width:246.8pt;height:0.6pt;z-index:251660288;" fillcolor="#000000" filled="true" stroked="false" coordsize="4936,12" coordorigin="0,0" path="m0,11l4935,11l4935,0l0,0l0,11xe"/>
              </w:pict>
            </w:r>
            <w:r>
              <w:rPr>
                <w:spacing w:val="1"/>
              </w:rPr>
              <w:t>確認上述聲明所載之內容：</w:t>
            </w:r>
          </w:p>
          <w:p>
            <w:pPr>
              <w:pStyle w:val="TableText"/>
              <w:ind w:left="117"/>
              <w:spacing w:before="188" w:line="186" w:lineRule="auto"/>
              <w:rPr/>
            </w:pPr>
            <w:r>
              <w:rPr>
                <w:spacing w:val="9"/>
              </w:rPr>
              <w:t>□所有資料屬實</w:t>
            </w:r>
          </w:p>
          <w:p>
            <w:pPr>
              <w:pStyle w:val="TableText"/>
              <w:ind w:left="117"/>
              <w:spacing w:before="189" w:line="185" w:lineRule="auto"/>
              <w:rPr/>
            </w:pPr>
            <w:r>
              <w:rPr/>
              <w:t>□資料不屬實 ，並核實相關成績為</w:t>
            </w:r>
            <w:r>
              <w:rPr>
                <w:spacing w:val="-9"/>
              </w:rPr>
              <w:t xml:space="preserve"> </w:t>
            </w:r>
            <w:r>
              <w:rPr/>
              <w:t>：</w:t>
            </w:r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7"/>
              <w:spacing w:before="90" w:line="185" w:lineRule="auto"/>
              <w:rPr/>
            </w:pPr>
            <w:r>
              <w:rPr>
                <w:spacing w:val="6"/>
              </w:rPr>
              <w:t>□查無相關聲明人資料</w:t>
            </w:r>
          </w:p>
        </w:tc>
        <w:tc>
          <w:tcPr>
            <w:tcW w:w="4158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29" w:right="2245"/>
              <w:spacing w:before="90" w:line="267" w:lineRule="auto"/>
              <w:jc w:val="right"/>
              <w:rPr/>
            </w:pPr>
            <w:r>
              <w:rPr/>
              <w:t>（院校蓋章）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日期：</w:t>
            </w:r>
          </w:p>
        </w:tc>
      </w:tr>
    </w:tbl>
    <w:p>
      <w:pPr>
        <w:rPr>
          <w:rFonts w:ascii="Arial"/>
          <w:sz w:val="21"/>
        </w:rPr>
      </w:pPr>
      <w:r/>
    </w:p>
    <w:sectPr>
      <w:footerReference w:type="default" r:id="rId14"/>
      <w:pgSz w:w="11907" w:h="16839"/>
      <w:pgMar w:top="1431" w:right="1051" w:bottom="1373" w:left="1051" w:header="0" w:footer="1209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7"/>
      <w:spacing w:line="166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1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7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2"/>
      <w:spacing w:line="166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6"/>
      <w:spacing w:line="165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1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65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9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091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10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9"/>
      <w:spacing w:line="166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11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825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  <w:spacing w:val="-4"/>
      </w:rPr>
      <w:t>12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Microsoft YaHei" w:hAnsi="Microsoft YaHei" w:eastAsia="Microsoft YaHei" w:cs="Microsoft YaHei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Microsoft YaHei" w:hAnsi="Microsoft YaHei" w:eastAsia="Microsoft YaHei" w:cs="Microsoft YaHei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hyperlink" Target="mailto:&#22312;&#25253;&#21517;&#26399;&#38388;&#23558;&#20197;&#19979;&#26448;&#26009;&#30005;&#23376;&#29256;&#21457;&#36865;&#33267;zhaosb@gzhu.edu.cn" TargetMode="External"/><Relationship Id="rId6" Type="http://schemas.openxmlformats.org/officeDocument/2006/relationships/footer" Target="footer6.xml"/><Relationship Id="rId5" Type="http://schemas.openxmlformats.org/officeDocument/2006/relationships/footer" Target="footer5.xml"/><Relationship Id="rId4" Type="http://schemas.openxmlformats.org/officeDocument/2006/relationships/footer" Target="footer4.xml"/><Relationship Id="rId3" Type="http://schemas.openxmlformats.org/officeDocument/2006/relationships/footer" Target="footer3.xml"/><Relationship Id="rId2" Type="http://schemas.openxmlformats.org/officeDocument/2006/relationships/footer" Target="footer2.xml"/><Relationship Id="rId18" Type="http://schemas.openxmlformats.org/officeDocument/2006/relationships/fontTable" Target="fontTable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image" Target="media/image2.png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image" Target="media/image1.jpeg"/><Relationship Id="rId11" Type="http://schemas.openxmlformats.org/officeDocument/2006/relationships/footer" Target="footer10.xml"/><Relationship Id="rId10" Type="http://schemas.openxmlformats.org/officeDocument/2006/relationships/footer" Target="footer9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LTSC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terms:created xsi:type="dcterms:W3CDTF">2024-04-18T10:30:49Z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2025-01-06T16:52:53</vt:filetime>
  </property>
</Properties>
</file>