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741" w:right="114" w:hanging="3639"/>
        <w:spacing w:before="90" w:line="172" w:lineRule="auto"/>
        <w:outlineLvl w:val="0"/>
        <w:rPr>
          <w:sz w:val="43"/>
          <w:szCs w:val="43"/>
        </w:rPr>
      </w:pPr>
      <w:r>
        <w:rPr>
          <w:sz w:val="43"/>
          <w:szCs w:val="43"/>
          <w:spacing w:val="6"/>
        </w:rPr>
        <w:t>廣州大學 </w:t>
      </w:r>
      <w:r>
        <w:rPr>
          <w:rFonts w:ascii="SimSun" w:hAnsi="SimSun" w:eastAsia="SimSun" w:cs="SimSun"/>
          <w:sz w:val="43"/>
          <w:szCs w:val="43"/>
          <w:b/>
          <w:bCs/>
          <w:spacing w:val="6"/>
        </w:rPr>
        <w:t>2024</w:t>
      </w:r>
      <w:r>
        <w:rPr>
          <w:rFonts w:ascii="SimSun" w:hAnsi="SimSun" w:eastAsia="SimSun" w:cs="SimSun"/>
          <w:sz w:val="43"/>
          <w:szCs w:val="43"/>
          <w:spacing w:val="-92"/>
        </w:rPr>
        <w:t xml:space="preserve"> </w:t>
      </w:r>
      <w:r>
        <w:rPr>
          <w:sz w:val="43"/>
          <w:szCs w:val="43"/>
          <w:spacing w:val="6"/>
        </w:rPr>
        <w:t>年聯合招收華僑港澳臺學生</w:t>
      </w:r>
      <w:r>
        <w:rPr>
          <w:sz w:val="43"/>
          <w:szCs w:val="43"/>
        </w:rPr>
        <w:t xml:space="preserve"> </w:t>
      </w:r>
      <w:r>
        <w:rPr>
          <w:sz w:val="43"/>
          <w:szCs w:val="43"/>
          <w:spacing w:val="2"/>
        </w:rPr>
        <w:t>簡章</w:t>
      </w:r>
    </w:p>
    <w:p>
      <w:pPr>
        <w:pStyle w:val="BodyText"/>
        <w:ind w:left="18" w:right="2" w:firstLine="566"/>
        <w:spacing w:before="35" w:line="312" w:lineRule="auto"/>
        <w:jc w:val="both"/>
        <w:rPr/>
      </w:pPr>
      <w:r>
        <w:rPr>
          <w:spacing w:val="-4"/>
        </w:rPr>
        <w:t>廣州大學是以國家重要中心城市“廣州”命名的綜合性大學，於</w:t>
      </w:r>
      <w:r>
        <w:rPr>
          <w:spacing w:val="3"/>
        </w:rPr>
        <w:t xml:space="preserve"> </w:t>
      </w:r>
      <w:r>
        <w:rPr>
          <w:rFonts w:ascii="SimHei" w:hAnsi="SimHei" w:eastAsia="SimHei" w:cs="SimHei"/>
          <w:spacing w:val="-4"/>
        </w:rPr>
        <w:t>2000</w:t>
      </w:r>
      <w:r>
        <w:rPr>
          <w:rFonts w:ascii="SimHei" w:hAnsi="SimHei" w:eastAsia="SimHei" w:cs="SimHei"/>
          <w:spacing w:val="-67"/>
        </w:rPr>
        <w:t xml:space="preserve"> </w:t>
      </w:r>
      <w:r>
        <w:rPr>
          <w:spacing w:val="-4"/>
        </w:rPr>
        <w:t>年合併組建，有著 </w:t>
      </w:r>
      <w:r>
        <w:rPr>
          <w:rFonts w:ascii="SimHei" w:hAnsi="SimHei" w:eastAsia="SimHei" w:cs="SimHei"/>
          <w:spacing w:val="-4"/>
        </w:rPr>
        <w:t>90</w:t>
      </w:r>
      <w:r>
        <w:rPr>
          <w:rFonts w:ascii="SimHei" w:hAnsi="SimHei" w:eastAsia="SimHei" w:cs="SimHei"/>
          <w:spacing w:val="-56"/>
        </w:rPr>
        <w:t xml:space="preserve"> </w:t>
      </w:r>
      <w:r>
        <w:rPr>
          <w:spacing w:val="-4"/>
        </w:rPr>
        <w:t>多年的辦學傳統 ，是廣東省高水平大</w:t>
      </w:r>
      <w:r>
        <w:rPr>
          <w:spacing w:val="-5"/>
        </w:rPr>
        <w:t>學建</w:t>
      </w:r>
      <w:r>
        <w:rPr/>
        <w:t xml:space="preserve"> </w:t>
      </w:r>
      <w:r>
        <w:rPr>
          <w:spacing w:val="-3"/>
        </w:rPr>
        <w:t>設計畫重點建設高校、廣州市高水準大學建設高校。學校</w:t>
      </w:r>
      <w:r>
        <w:rPr>
          <w:spacing w:val="-4"/>
        </w:rPr>
        <w:t>堅持立德樹</w:t>
      </w:r>
      <w:r>
        <w:rPr/>
        <w:t xml:space="preserve"> </w:t>
      </w:r>
      <w:r>
        <w:rPr>
          <w:spacing w:val="-11"/>
        </w:rPr>
        <w:t>人根本任務，堅持本科人才培養中心地位，以“德</w:t>
      </w:r>
      <w:r>
        <w:rPr>
          <w:spacing w:val="-12"/>
        </w:rPr>
        <w:t>才兼備、家國情懷、</w:t>
      </w:r>
      <w:r>
        <w:rPr/>
        <w:t xml:space="preserve"> </w:t>
      </w:r>
      <w:r>
        <w:rPr>
          <w:spacing w:val="-10"/>
        </w:rPr>
        <w:t>視野開闊</w:t>
      </w:r>
      <w:r>
        <w:rPr>
          <w:spacing w:val="-6"/>
        </w:rPr>
        <w:t xml:space="preserve"> </w:t>
      </w:r>
      <w:r>
        <w:rPr>
          <w:spacing w:val="-10"/>
        </w:rPr>
        <w:t>，愛體育、懂藝術</w:t>
      </w:r>
      <w:r>
        <w:rPr>
          <w:spacing w:val="-19"/>
        </w:rPr>
        <w:t xml:space="preserve"> </w:t>
      </w:r>
      <w:r>
        <w:rPr>
          <w:spacing w:val="-10"/>
        </w:rPr>
        <w:t>，能力發展性強”為人才培養目標</w:t>
      </w:r>
      <w:r>
        <w:rPr>
          <w:spacing w:val="-19"/>
        </w:rPr>
        <w:t xml:space="preserve"> </w:t>
      </w:r>
      <w:r>
        <w:rPr>
          <w:spacing w:val="-10"/>
        </w:rPr>
        <w:t>，設立</w:t>
      </w:r>
      <w:r>
        <w:rPr/>
        <w:t xml:space="preserve"> </w:t>
      </w:r>
      <w:r>
        <w:rPr>
          <w:spacing w:val="-1"/>
        </w:rPr>
        <w:t>“文體藝語勞”</w:t>
      </w:r>
      <w:r>
        <w:rPr>
          <w:rFonts w:ascii="SimHei" w:hAnsi="SimHei" w:eastAsia="SimHei" w:cs="SimHei"/>
          <w:spacing w:val="-1"/>
        </w:rPr>
        <w:t>5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1"/>
        </w:rPr>
        <w:t>個公共素質教育中心，致力於培養具有廣大</w:t>
      </w:r>
      <w:r>
        <w:rPr>
          <w:spacing w:val="-2"/>
        </w:rPr>
        <w:t>底色的</w:t>
      </w:r>
      <w:r>
        <w:rPr/>
        <w:t xml:space="preserve"> </w:t>
      </w:r>
      <w:r>
        <w:rPr>
          <w:spacing w:val="4"/>
        </w:rPr>
        <w:t>創新型人才。</w:t>
      </w:r>
    </w:p>
    <w:p>
      <w:pPr>
        <w:pStyle w:val="BodyText"/>
        <w:ind w:left="17" w:firstLine="567"/>
        <w:spacing w:before="11" w:line="311" w:lineRule="auto"/>
        <w:jc w:val="both"/>
        <w:rPr/>
      </w:pPr>
      <w:r>
        <w:rPr>
          <w:spacing w:val="-12"/>
        </w:rPr>
        <w:t>學校招生專業涵蓋哲學、經濟學、法學、教育學、文</w:t>
      </w:r>
      <w:r>
        <w:rPr>
          <w:spacing w:val="-13"/>
        </w:rPr>
        <w:t>學、歷史學、</w:t>
      </w:r>
      <w:r>
        <w:rPr/>
        <w:t xml:space="preserve"> </w:t>
      </w:r>
      <w:r>
        <w:rPr>
          <w:spacing w:val="-10"/>
        </w:rPr>
        <w:t>理學 、工學、管理學 、藝術學、交叉學科</w:t>
      </w:r>
      <w:r>
        <w:rPr>
          <w:spacing w:val="-11"/>
        </w:rPr>
        <w:t>等十一大學科門類 ，綜合性</w:t>
      </w:r>
      <w:r>
        <w:rPr/>
        <w:t xml:space="preserve"> </w:t>
      </w:r>
      <w:r>
        <w:rPr>
          <w:spacing w:val="-10"/>
        </w:rPr>
        <w:t>大學優勢盡顯 。工程學 、計算機科學 </w:t>
      </w:r>
      <w:r>
        <w:rPr>
          <w:spacing w:val="-11"/>
        </w:rPr>
        <w:t>、化學 、材料科學 、環境</w:t>
      </w:r>
      <w:r>
        <w:rPr>
          <w:rFonts w:ascii="SimHei" w:hAnsi="SimHei" w:eastAsia="SimHei" w:cs="SimHei"/>
          <w:spacing w:val="-11"/>
        </w:rPr>
        <w:t>/</w:t>
      </w:r>
      <w:r>
        <w:rPr>
          <w:spacing w:val="-11"/>
        </w:rPr>
        <w:t>生態</w:t>
      </w:r>
      <w:r>
        <w:rPr/>
        <w:t xml:space="preserve"> </w:t>
      </w:r>
      <w:r>
        <w:rPr>
          <w:spacing w:val="-6"/>
        </w:rPr>
        <w:t>學、社會科學總論、數學、植物學與動物學等 </w:t>
      </w:r>
      <w:r>
        <w:rPr>
          <w:rFonts w:ascii="SimHei" w:hAnsi="SimHei" w:eastAsia="SimHei" w:cs="SimHei"/>
          <w:spacing w:val="-6"/>
        </w:rPr>
        <w:t>8</w:t>
      </w:r>
      <w:r>
        <w:rPr>
          <w:rFonts w:ascii="SimHei" w:hAnsi="SimHei" w:eastAsia="SimHei" w:cs="SimHei"/>
          <w:spacing w:val="-54"/>
        </w:rPr>
        <w:t xml:space="preserve"> </w:t>
      </w:r>
      <w:r>
        <w:rPr>
          <w:spacing w:val="-6"/>
        </w:rPr>
        <w:t>個學科進入 </w:t>
      </w:r>
      <w:r>
        <w:rPr>
          <w:rFonts w:ascii="SimHei" w:hAnsi="SimHei" w:eastAsia="SimHei" w:cs="SimHei"/>
          <w:spacing w:val="-6"/>
        </w:rPr>
        <w:t>ES</w:t>
      </w:r>
      <w:r>
        <w:rPr>
          <w:rFonts w:ascii="SimHei" w:hAnsi="SimHei" w:eastAsia="SimHei" w:cs="SimHei"/>
          <w:spacing w:val="-84"/>
        </w:rPr>
        <w:t xml:space="preserve"> </w:t>
      </w:r>
      <w:r>
        <w:rPr>
          <w:rFonts w:ascii="SimHei" w:hAnsi="SimHei" w:eastAsia="SimHei" w:cs="SimHei"/>
          <w:spacing w:val="-6"/>
        </w:rPr>
        <w:t>I</w:t>
      </w:r>
      <w:r>
        <w:rPr>
          <w:rFonts w:ascii="SimHei" w:hAnsi="SimHei" w:eastAsia="SimHei" w:cs="SimHei"/>
          <w:spacing w:val="-67"/>
        </w:rPr>
        <w:t xml:space="preserve"> </w:t>
      </w:r>
      <w:r>
        <w:rPr>
          <w:spacing w:val="-6"/>
        </w:rPr>
        <w:t>全球</w:t>
      </w:r>
      <w:r>
        <w:rPr/>
        <w:t xml:space="preserve"> </w:t>
      </w:r>
      <w:r>
        <w:rPr>
          <w:spacing w:val="-4"/>
        </w:rPr>
        <w:t>前</w:t>
      </w:r>
      <w:r>
        <w:rPr>
          <w:spacing w:val="40"/>
        </w:rPr>
        <w:t xml:space="preserve"> </w:t>
      </w:r>
      <w:r>
        <w:rPr>
          <w:rFonts w:ascii="SimHei" w:hAnsi="SimHei" w:eastAsia="SimHei" w:cs="SimHei"/>
          <w:spacing w:val="-4"/>
        </w:rPr>
        <w:t>1%</w:t>
      </w:r>
      <w:r>
        <w:rPr>
          <w:rFonts w:ascii="SimHei" w:hAnsi="SimHei" w:eastAsia="SimHei" w:cs="SimHei"/>
          <w:spacing w:val="-63"/>
        </w:rPr>
        <w:t xml:space="preserve"> </w:t>
      </w:r>
      <w:r>
        <w:rPr>
          <w:spacing w:val="-4"/>
        </w:rPr>
        <w:t>；</w:t>
      </w:r>
      <w:r>
        <w:rPr>
          <w:rFonts w:ascii="SimHei" w:hAnsi="SimHei" w:eastAsia="SimHei" w:cs="SimHei"/>
          <w:spacing w:val="-4"/>
        </w:rPr>
        <w:t>20</w:t>
      </w:r>
      <w:r>
        <w:rPr>
          <w:rFonts w:ascii="SimHei" w:hAnsi="SimHei" w:eastAsia="SimHei" w:cs="SimHei"/>
          <w:spacing w:val="-41"/>
        </w:rPr>
        <w:t xml:space="preserve"> </w:t>
      </w:r>
      <w:r>
        <w:rPr>
          <w:spacing w:val="-4"/>
        </w:rPr>
        <w:t>個學科上榜</w:t>
      </w:r>
      <w:r>
        <w:rPr>
          <w:spacing w:val="20"/>
        </w:rPr>
        <w:t xml:space="preserve"> </w:t>
      </w:r>
      <w:r>
        <w:rPr>
          <w:rFonts w:ascii="SimHei" w:hAnsi="SimHei" w:eastAsia="SimHei" w:cs="SimHei"/>
          <w:spacing w:val="-4"/>
        </w:rPr>
        <w:t>2023</w:t>
      </w:r>
      <w:r>
        <w:rPr>
          <w:rFonts w:ascii="SimHei" w:hAnsi="SimHei" w:eastAsia="SimHei" w:cs="SimHei"/>
          <w:spacing w:val="-43"/>
        </w:rPr>
        <w:t xml:space="preserve"> </w:t>
      </w:r>
      <w:r>
        <w:rPr>
          <w:spacing w:val="-4"/>
        </w:rPr>
        <w:t>軟科世界一流學科；</w:t>
      </w:r>
      <w:r>
        <w:rPr>
          <w:rFonts w:ascii="SimHei" w:hAnsi="SimHei" w:eastAsia="SimHei" w:cs="SimHei"/>
          <w:spacing w:val="-4"/>
        </w:rPr>
        <w:t>27</w:t>
      </w:r>
      <w:r>
        <w:rPr>
          <w:rFonts w:ascii="SimHei" w:hAnsi="SimHei" w:eastAsia="SimHei" w:cs="SimHei"/>
          <w:spacing w:val="-41"/>
        </w:rPr>
        <w:t xml:space="preserve"> </w:t>
      </w:r>
      <w:r>
        <w:rPr>
          <w:spacing w:val="-4"/>
        </w:rPr>
        <w:t>個學科上榜軟科</w:t>
      </w:r>
      <w:r>
        <w:rPr/>
        <w:t xml:space="preserve"> </w:t>
      </w:r>
      <w:r>
        <w:rPr>
          <w:rFonts w:ascii="SimHei" w:hAnsi="SimHei" w:eastAsia="SimHei" w:cs="SimHei"/>
          <w:spacing w:val="-4"/>
        </w:rPr>
        <w:t>2023</w:t>
      </w:r>
      <w:r>
        <w:rPr>
          <w:rFonts w:ascii="FangSong" w:hAnsi="FangSong" w:eastAsia="FangSong" w:cs="FangSong"/>
          <w:spacing w:val="-4"/>
        </w:rPr>
        <w:t>“</w:t>
      </w:r>
      <w:r>
        <w:rPr>
          <w:rFonts w:ascii="FangSong" w:hAnsi="FangSong" w:eastAsia="FangSong" w:cs="FangSong"/>
          <w:spacing w:val="-89"/>
        </w:rPr>
        <w:t xml:space="preserve"> </w:t>
      </w:r>
      <w:r>
        <w:rPr>
          <w:spacing w:val="-4"/>
        </w:rPr>
        <w:t>中國最好學科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-4"/>
        </w:rPr>
        <w:t>”</w:t>
      </w:r>
      <w:r>
        <w:rPr>
          <w:rFonts w:ascii="FangSong" w:hAnsi="FangSong" w:eastAsia="FangSong" w:cs="FangSong"/>
          <w:spacing w:val="-89"/>
        </w:rPr>
        <w:t xml:space="preserve"> </w:t>
      </w:r>
      <w:r>
        <w:rPr>
          <w:spacing w:val="-4"/>
        </w:rPr>
        <w:t>。學校在 </w:t>
      </w:r>
      <w:r>
        <w:rPr>
          <w:rFonts w:ascii="SimHei" w:hAnsi="SimHei" w:eastAsia="SimHei" w:cs="SimHei"/>
          <w:spacing w:val="-4"/>
        </w:rPr>
        <w:t>2023</w:t>
      </w:r>
      <w:r>
        <w:rPr>
          <w:rFonts w:ascii="SimHei" w:hAnsi="SimHei" w:eastAsia="SimHei" w:cs="SimHei"/>
          <w:spacing w:val="-43"/>
        </w:rPr>
        <w:t xml:space="preserve"> </w:t>
      </w:r>
      <w:r>
        <w:rPr>
          <w:spacing w:val="-4"/>
        </w:rPr>
        <w:t>軟科中國大學排名中位列主榜</w:t>
      </w:r>
      <w:r>
        <w:rPr/>
        <w:t xml:space="preserve"> </w:t>
      </w:r>
      <w:r>
        <w:rPr>
          <w:spacing w:val="-4"/>
        </w:rPr>
        <w:t>第 </w:t>
      </w:r>
      <w:r>
        <w:rPr>
          <w:rFonts w:ascii="SimHei" w:hAnsi="SimHei" w:eastAsia="SimHei" w:cs="SimHei"/>
          <w:spacing w:val="-4"/>
        </w:rPr>
        <w:t>97</w:t>
      </w:r>
      <w:r>
        <w:rPr>
          <w:rFonts w:ascii="SimHei" w:hAnsi="SimHei" w:eastAsia="SimHei" w:cs="SimHei"/>
          <w:spacing w:val="-58"/>
        </w:rPr>
        <w:t xml:space="preserve"> </w:t>
      </w:r>
      <w:r>
        <w:rPr>
          <w:spacing w:val="-4"/>
        </w:rPr>
        <w:t>位，自</w:t>
      </w:r>
      <w:r>
        <w:rPr>
          <w:spacing w:val="43"/>
        </w:rPr>
        <w:t xml:space="preserve"> </w:t>
      </w:r>
      <w:r>
        <w:rPr>
          <w:rFonts w:ascii="SimHei" w:hAnsi="SimHei" w:eastAsia="SimHei" w:cs="SimHei"/>
          <w:spacing w:val="-4"/>
        </w:rPr>
        <w:t>2020</w:t>
      </w:r>
      <w:r>
        <w:rPr>
          <w:rFonts w:ascii="SimHei" w:hAnsi="SimHei" w:eastAsia="SimHei" w:cs="SimHei"/>
          <w:spacing w:val="-60"/>
        </w:rPr>
        <w:t xml:space="preserve"> </w:t>
      </w:r>
      <w:r>
        <w:rPr>
          <w:spacing w:val="-4"/>
        </w:rPr>
        <w:t>年以來一直穩居國內百強 ；</w:t>
      </w:r>
      <w:r>
        <w:rPr>
          <w:spacing w:val="-5"/>
        </w:rPr>
        <w:t>在 </w:t>
      </w:r>
      <w:r>
        <w:rPr>
          <w:rFonts w:ascii="SimHei" w:hAnsi="SimHei" w:eastAsia="SimHei" w:cs="SimHei"/>
          <w:spacing w:val="-5"/>
        </w:rPr>
        <w:t>2023</w:t>
      </w:r>
      <w:r>
        <w:rPr>
          <w:rFonts w:ascii="SimHei" w:hAnsi="SimHei" w:eastAsia="SimHei" w:cs="SimHei"/>
          <w:spacing w:val="-57"/>
        </w:rPr>
        <w:t xml:space="preserve"> </w:t>
      </w:r>
      <w:r>
        <w:rPr>
          <w:spacing w:val="-5"/>
        </w:rPr>
        <w:t>軟科世界大學</w:t>
      </w:r>
      <w:r>
        <w:rPr/>
        <w:t xml:space="preserve"> </w:t>
      </w:r>
      <w:r>
        <w:rPr>
          <w:spacing w:val="9"/>
        </w:rPr>
        <w:t>學術排名中位列世界大學第</w:t>
      </w:r>
      <w:r>
        <w:rPr>
          <w:spacing w:val="67"/>
          <w:w w:val="101"/>
        </w:rPr>
        <w:t xml:space="preserve"> </w:t>
      </w:r>
      <w:r>
        <w:rPr>
          <w:rFonts w:ascii="SimHei" w:hAnsi="SimHei" w:eastAsia="SimHei" w:cs="SimHei"/>
          <w:spacing w:val="9"/>
        </w:rPr>
        <w:t>463</w:t>
      </w:r>
      <w:r>
        <w:rPr>
          <w:rFonts w:ascii="SimHei" w:hAnsi="SimHei" w:eastAsia="SimHei" w:cs="SimHei"/>
          <w:spacing w:val="9"/>
        </w:rPr>
        <w:t xml:space="preserve"> </w:t>
      </w:r>
      <w:r>
        <w:rPr>
          <w:spacing w:val="9"/>
        </w:rPr>
        <w:t>位、中國內地高校第</w:t>
      </w:r>
      <w:r>
        <w:rPr>
          <w:spacing w:val="8"/>
        </w:rPr>
        <w:t xml:space="preserve">  </w:t>
      </w:r>
      <w:r>
        <w:rPr>
          <w:rFonts w:ascii="SimHei" w:hAnsi="SimHei" w:eastAsia="SimHei" w:cs="SimHei"/>
          <w:spacing w:val="8"/>
        </w:rPr>
        <w:t>78</w:t>
      </w:r>
      <w:r>
        <w:rPr>
          <w:rFonts w:ascii="SimHei" w:hAnsi="SimHei" w:eastAsia="SimHei" w:cs="SimHei"/>
          <w:spacing w:val="8"/>
        </w:rPr>
        <w:t xml:space="preserve"> </w:t>
      </w:r>
      <w:r>
        <w:rPr>
          <w:spacing w:val="8"/>
        </w:rPr>
        <w:t>位；在</w:t>
      </w:r>
      <w:r>
        <w:rPr/>
        <w:t xml:space="preserve"> </w:t>
      </w:r>
      <w:r>
        <w:rPr>
          <w:rFonts w:ascii="SimHei" w:hAnsi="SimHei" w:eastAsia="SimHei" w:cs="SimHei"/>
        </w:rPr>
        <w:t>US.News2023</w:t>
      </w:r>
      <w:r>
        <w:rPr>
          <w:rFonts w:ascii="SimHei" w:hAnsi="SimHei" w:eastAsia="SimHei" w:cs="SimHei"/>
          <w:spacing w:val="-37"/>
        </w:rPr>
        <w:t xml:space="preserve"> </w:t>
      </w:r>
      <w:r>
        <w:rPr/>
        <w:t>世界大學排名中位列世界大學第 </w:t>
      </w:r>
      <w:r>
        <w:rPr>
          <w:rFonts w:ascii="SimHei" w:hAnsi="SimHei" w:eastAsia="SimHei" w:cs="SimHei"/>
        </w:rPr>
        <w:t>551</w:t>
      </w:r>
      <w:r>
        <w:rPr>
          <w:rFonts w:ascii="SimHei" w:hAnsi="SimHei" w:eastAsia="SimHei" w:cs="SimHei"/>
          <w:spacing w:val="-40"/>
        </w:rPr>
        <w:t xml:space="preserve"> </w:t>
      </w:r>
      <w:r>
        <w:rPr/>
        <w:t>位；在 </w:t>
      </w:r>
      <w:r>
        <w:rPr>
          <w:rFonts w:ascii="SimHei" w:hAnsi="SimHei" w:eastAsia="SimHei" w:cs="SimHei"/>
        </w:rPr>
        <w:t>2024</w:t>
      </w:r>
      <w:r>
        <w:rPr>
          <w:rFonts w:ascii="SimHei" w:hAnsi="SimHei" w:eastAsia="SimHei" w:cs="SimHei"/>
          <w:spacing w:val="-43"/>
        </w:rPr>
        <w:t xml:space="preserve"> </w:t>
      </w:r>
      <w:r>
        <w:rPr/>
        <w:t>泰晤 </w:t>
      </w:r>
      <w:r>
        <w:rPr/>
        <w:t>士高等教育世界大學排名中位列世界大學第 </w:t>
      </w:r>
      <w:r>
        <w:rPr>
          <w:rFonts w:ascii="SimHei" w:hAnsi="SimHei" w:eastAsia="SimHei" w:cs="SimHei"/>
        </w:rPr>
        <w:t>801-1000</w:t>
      </w:r>
      <w:r>
        <w:rPr>
          <w:rFonts w:ascii="SimHei" w:hAnsi="SimHei" w:eastAsia="SimHei" w:cs="SimHei"/>
          <w:spacing w:val="-40"/>
        </w:rPr>
        <w:t xml:space="preserve"> </w:t>
      </w:r>
      <w:r>
        <w:rPr/>
        <w:t>位。學校現有 </w:t>
      </w:r>
      <w:r>
        <w:rPr>
          <w:rFonts w:ascii="SimHei" w:hAnsi="SimHei" w:eastAsia="SimHei" w:cs="SimHei"/>
          <w:spacing w:val="-5"/>
        </w:rPr>
        <w:t>40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5"/>
        </w:rPr>
        <w:t>個國家級 、</w:t>
      </w:r>
      <w:r>
        <w:rPr>
          <w:rFonts w:ascii="SimHei" w:hAnsi="SimHei" w:eastAsia="SimHei" w:cs="SimHei"/>
          <w:spacing w:val="-5"/>
        </w:rPr>
        <w:t>52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5"/>
        </w:rPr>
        <w:t>個廣東省一流本科專業建設點（含國家級）。</w:t>
      </w:r>
    </w:p>
    <w:p>
      <w:pPr>
        <w:pStyle w:val="BodyText"/>
        <w:ind w:left="23" w:right="9" w:firstLine="561"/>
        <w:spacing w:before="4" w:line="311" w:lineRule="auto"/>
        <w:jc w:val="both"/>
        <w:rPr/>
      </w:pPr>
      <w:r>
        <w:rPr>
          <w:spacing w:val="-4"/>
        </w:rPr>
        <w:t>學校擁有雄厚的師資隊伍、優質的教學資源，採取拔尖創新人才</w:t>
      </w:r>
      <w:r>
        <w:rPr>
          <w:spacing w:val="13"/>
        </w:rPr>
        <w:t xml:space="preserve"> </w:t>
      </w:r>
      <w:r>
        <w:rPr>
          <w:spacing w:val="-3"/>
        </w:rPr>
        <w:t>和卓越應用人才兩類培養模式以及漢語教學，設有完善的獎助政策，</w:t>
      </w:r>
    </w:p>
    <w:p>
      <w:pPr>
        <w:spacing w:line="311" w:lineRule="auto"/>
        <w:sectPr>
          <w:footerReference w:type="default" r:id="rId1"/>
          <w:pgSz w:w="11907" w:h="16839"/>
          <w:pgMar w:top="1077" w:right="1767" w:bottom="1775" w:left="1785" w:header="0" w:footer="1525" w:gutter="0"/>
        </w:sectPr>
        <w:rPr/>
      </w:pPr>
    </w:p>
    <w:p>
      <w:pPr>
        <w:pStyle w:val="BodyText"/>
        <w:ind w:left="22" w:hanging="4"/>
        <w:spacing w:before="54" w:line="312" w:lineRule="auto"/>
        <w:jc w:val="both"/>
        <w:rPr/>
      </w:pPr>
      <w:r>
        <w:rPr>
          <w:spacing w:val="-3"/>
        </w:rPr>
        <w:t>學生可參評教育部港澳臺僑學生獎學金、學校獎學</w:t>
      </w:r>
      <w:r>
        <w:rPr>
          <w:spacing w:val="-4"/>
        </w:rPr>
        <w:t>金。畢業生具有較</w:t>
      </w:r>
      <w:r>
        <w:rPr/>
        <w:t xml:space="preserve">  </w:t>
      </w:r>
      <w:r>
        <w:rPr>
          <w:spacing w:val="-6"/>
        </w:rPr>
        <w:t>強的就業競爭力與職業發展後勁</w:t>
      </w:r>
      <w:r>
        <w:rPr>
          <w:spacing w:val="-17"/>
        </w:rPr>
        <w:t xml:space="preserve"> </w:t>
      </w:r>
      <w:r>
        <w:rPr>
          <w:spacing w:val="-6"/>
        </w:rPr>
        <w:t>，就業品質穩步提升，近 </w:t>
      </w:r>
      <w:r>
        <w:rPr>
          <w:rFonts w:ascii="SimHei" w:hAnsi="SimHei" w:eastAsia="SimHei" w:cs="SimHei"/>
          <w:spacing w:val="-6"/>
        </w:rPr>
        <w:t>3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6"/>
        </w:rPr>
        <w:t>年，本科</w:t>
      </w:r>
      <w:r>
        <w:rPr/>
        <w:t xml:space="preserve">  </w:t>
      </w:r>
      <w:r>
        <w:rPr>
          <w:spacing w:val="-2"/>
        </w:rPr>
        <w:t>生總體去向落實率均在</w:t>
      </w:r>
      <w:r>
        <w:rPr>
          <w:spacing w:val="36"/>
        </w:rPr>
        <w:t xml:space="preserve"> </w:t>
      </w:r>
      <w:r>
        <w:rPr>
          <w:rFonts w:ascii="SimHei" w:hAnsi="SimHei" w:eastAsia="SimHei" w:cs="SimHei"/>
          <w:spacing w:val="-2"/>
        </w:rPr>
        <w:t>94%</w:t>
      </w:r>
      <w:r>
        <w:rPr>
          <w:spacing w:val="-2"/>
        </w:rPr>
        <w:t>以上。畢業生主要在粵港澳大灣區就業 。</w:t>
      </w:r>
    </w:p>
    <w:p>
      <w:pPr>
        <w:pStyle w:val="BodyText"/>
        <w:ind w:left="18" w:right="95" w:firstLine="566"/>
        <w:spacing w:before="10" w:line="311" w:lineRule="auto"/>
        <w:jc w:val="both"/>
        <w:rPr/>
      </w:pPr>
      <w:r>
        <w:rPr>
          <w:spacing w:val="-4"/>
        </w:rPr>
        <w:t>學校依託廣州國家重要中心城市、綜合性門戶城市和粵港澳大灣</w:t>
      </w:r>
      <w:r>
        <w:rPr>
          <w:spacing w:val="8"/>
        </w:rPr>
        <w:t xml:space="preserve"> </w:t>
      </w:r>
      <w:r>
        <w:rPr>
          <w:spacing w:val="-3"/>
        </w:rPr>
        <w:t>區核心引擎的國際影響力，聚焦粵港澳大灣區建設</w:t>
      </w:r>
      <w:r>
        <w:rPr>
          <w:spacing w:val="-4"/>
        </w:rPr>
        <w:t>和“一帶一路”倡</w:t>
      </w:r>
      <w:r>
        <w:rPr/>
        <w:t xml:space="preserve"> </w:t>
      </w:r>
      <w:r>
        <w:rPr>
          <w:spacing w:val="-1"/>
        </w:rPr>
        <w:t>議 ，不斷拓展國際</w:t>
      </w:r>
      <w:r>
        <w:rPr>
          <w:rFonts w:ascii="SimHei" w:hAnsi="SimHei" w:eastAsia="SimHei" w:cs="SimHei"/>
          <w:spacing w:val="-1"/>
        </w:rPr>
        <w:t>/</w:t>
      </w:r>
      <w:r>
        <w:rPr>
          <w:spacing w:val="-1"/>
        </w:rPr>
        <w:t>港澳臺交流與合作。學校與香港科技</w:t>
      </w:r>
      <w:r>
        <w:rPr>
          <w:spacing w:val="-2"/>
        </w:rPr>
        <w:t>大學合作建</w:t>
      </w:r>
      <w:r>
        <w:rPr/>
        <w:t xml:space="preserve"> </w:t>
      </w:r>
      <w:r>
        <w:rPr>
          <w:spacing w:val="1"/>
        </w:rPr>
        <w:t>設香港科技大學（廣州</w:t>
      </w:r>
      <w:r>
        <w:rPr>
          <w:spacing w:val="-61"/>
        </w:rPr>
        <w:t>）；</w:t>
      </w:r>
      <w:r>
        <w:rPr>
          <w:spacing w:val="1"/>
        </w:rPr>
        <w:t>發起成立廣州國際友城大學聯盟；聯盟成 </w:t>
      </w:r>
      <w:r>
        <w:rPr>
          <w:spacing w:val="-4"/>
        </w:rPr>
        <w:t>員大學 </w:t>
      </w:r>
      <w:r>
        <w:rPr>
          <w:rFonts w:ascii="SimHei" w:hAnsi="SimHei" w:eastAsia="SimHei" w:cs="SimHei"/>
          <w:spacing w:val="-4"/>
        </w:rPr>
        <w:t>19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4"/>
        </w:rPr>
        <w:t>所</w:t>
      </w:r>
      <w:r>
        <w:rPr>
          <w:rFonts w:ascii="SimHei" w:hAnsi="SimHei" w:eastAsia="SimHei" w:cs="SimHei"/>
          <w:spacing w:val="-4"/>
        </w:rPr>
        <w:t>,</w:t>
      </w:r>
      <w:r>
        <w:rPr>
          <w:spacing w:val="-4"/>
        </w:rPr>
        <w:t>分佈於五大洲 </w:t>
      </w:r>
      <w:r>
        <w:rPr>
          <w:rFonts w:ascii="SimHei" w:hAnsi="SimHei" w:eastAsia="SimHei" w:cs="SimHei"/>
          <w:spacing w:val="-4"/>
        </w:rPr>
        <w:t>16</w:t>
      </w:r>
      <w:r>
        <w:rPr>
          <w:rFonts w:ascii="SimHei" w:hAnsi="SimHei" w:eastAsia="SimHei" w:cs="SimHei"/>
          <w:spacing w:val="-67"/>
        </w:rPr>
        <w:t xml:space="preserve"> </w:t>
      </w:r>
      <w:r>
        <w:rPr>
          <w:spacing w:val="-4"/>
        </w:rPr>
        <w:t>個國家；與近 </w:t>
      </w:r>
      <w:r>
        <w:rPr>
          <w:rFonts w:ascii="SimHei" w:hAnsi="SimHei" w:eastAsia="SimHei" w:cs="SimHei"/>
          <w:spacing w:val="-4"/>
        </w:rPr>
        <w:t>30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4"/>
        </w:rPr>
        <w:t>個國</w:t>
      </w:r>
      <w:r>
        <w:rPr>
          <w:spacing w:val="-5"/>
        </w:rPr>
        <w:t>家和地區的超過</w:t>
      </w:r>
      <w:r>
        <w:rPr/>
        <w:t xml:space="preserve"> </w:t>
      </w:r>
      <w:r>
        <w:rPr>
          <w:rFonts w:ascii="SimHei" w:hAnsi="SimHei" w:eastAsia="SimHei" w:cs="SimHei"/>
          <w:spacing w:val="-7"/>
        </w:rPr>
        <w:t>200</w:t>
      </w:r>
      <w:r>
        <w:rPr>
          <w:spacing w:val="-7"/>
        </w:rPr>
        <w:t>所大學、科研院所建立了合作關係，與</w:t>
      </w:r>
      <w:r>
        <w:rPr>
          <w:spacing w:val="-8"/>
        </w:rPr>
        <w:t>世界知名大學合作開展“拔</w:t>
      </w:r>
      <w:r>
        <w:rPr/>
        <w:t xml:space="preserve"> </w:t>
      </w:r>
      <w:r>
        <w:rPr>
          <w:spacing w:val="-1"/>
        </w:rPr>
        <w:t>尖創新人才境外學習計畫”和聯合培養等項目近 </w:t>
      </w:r>
      <w:r>
        <w:rPr>
          <w:rFonts w:ascii="SimHei" w:hAnsi="SimHei" w:eastAsia="SimHei" w:cs="SimHei"/>
          <w:spacing w:val="-1"/>
        </w:rPr>
        <w:t>60</w:t>
      </w:r>
      <w:r>
        <w:rPr>
          <w:rFonts w:ascii="SimHei" w:hAnsi="SimHei" w:eastAsia="SimHei" w:cs="SimHei"/>
          <w:spacing w:val="-55"/>
        </w:rPr>
        <w:t xml:space="preserve"> </w:t>
      </w:r>
      <w:r>
        <w:rPr>
          <w:spacing w:val="-1"/>
        </w:rPr>
        <w:t>個 。</w:t>
      </w:r>
    </w:p>
    <w:p>
      <w:pPr>
        <w:pStyle w:val="BodyText"/>
        <w:ind w:left="677" w:right="3329" w:hanging="92"/>
        <w:spacing w:line="390" w:lineRule="auto"/>
        <w:rPr>
          <w:rFonts w:ascii="SimHei" w:hAnsi="SimHei" w:eastAsia="SimHei" w:cs="SimHei"/>
          <w:sz w:val="30"/>
          <w:szCs w:val="30"/>
        </w:rPr>
      </w:pPr>
      <w:r>
        <w:rPr>
          <w:spacing w:val="1"/>
        </w:rPr>
        <w:t>根據教育部有關精神，制定本簡章。</w:t>
      </w:r>
      <w:r>
        <w:rPr>
          <w:spacing w:val="10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-5"/>
        </w:rPr>
        <w:t>一、報名</w:t>
      </w:r>
    </w:p>
    <w:p>
      <w:pPr>
        <w:pStyle w:val="BodyText"/>
        <w:ind w:left="659"/>
        <w:spacing w:before="2" w:line="184" w:lineRule="auto"/>
        <w:outlineLvl w:val="0"/>
        <w:rPr>
          <w:sz w:val="30"/>
          <w:szCs w:val="30"/>
        </w:rPr>
      </w:pPr>
      <w:r>
        <w:rPr>
          <w:sz w:val="30"/>
          <w:szCs w:val="30"/>
          <w:b/>
          <w:bCs/>
          <w:spacing w:val="9"/>
        </w:rPr>
        <w:t>（一）報名條件</w:t>
      </w:r>
    </w:p>
    <w:p>
      <w:pPr>
        <w:pStyle w:val="BodyText"/>
        <w:ind w:left="14" w:right="102" w:firstLine="650"/>
        <w:spacing w:before="261" w:line="259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符合下列條件之一且具有高中畢業文化程度（須為學歷教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5"/>
        </w:rPr>
        <w:t>育）的人員</w:t>
      </w:r>
      <w:r>
        <w:rPr>
          <w:sz w:val="30"/>
          <w:szCs w:val="30"/>
          <w:spacing w:val="-20"/>
        </w:rPr>
        <w:t xml:space="preserve"> </w:t>
      </w:r>
      <w:r>
        <w:rPr>
          <w:sz w:val="30"/>
          <w:szCs w:val="30"/>
          <w:spacing w:val="5"/>
        </w:rPr>
        <w:t>，可以申請報名普通高校聯合招收華僑港澳臺學生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0"/>
        </w:rPr>
        <w:t>（以下簡稱全國聯招</w:t>
      </w:r>
      <w:r>
        <w:rPr>
          <w:sz w:val="30"/>
          <w:szCs w:val="30"/>
          <w:spacing w:val="16"/>
        </w:rPr>
        <w:t>）：</w:t>
      </w:r>
    </w:p>
    <w:p>
      <w:pPr>
        <w:pStyle w:val="BodyText"/>
        <w:ind w:left="14" w:right="110" w:firstLine="681"/>
        <w:spacing w:before="115" w:line="256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7"/>
        </w:rPr>
        <w:t>1.</w:t>
      </w:r>
      <w:r>
        <w:rPr>
          <w:sz w:val="30"/>
          <w:szCs w:val="30"/>
          <w:spacing w:val="7"/>
        </w:rPr>
        <w:t>港澳地區考生，具有①《港澳居民來往內地通行證》或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9"/>
        </w:rPr>
        <w:t>《港澳居民居住證》和②香港或澳門居民身份證 。</w:t>
      </w:r>
    </w:p>
    <w:p>
      <w:pPr>
        <w:pStyle w:val="BodyText"/>
        <w:ind w:left="14" w:right="110" w:firstLine="652"/>
        <w:spacing w:before="125" w:line="255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2.</w:t>
      </w:r>
      <w:r>
        <w:rPr>
          <w:sz w:val="30"/>
          <w:szCs w:val="30"/>
          <w:spacing w:val="8"/>
        </w:rPr>
        <w:t>臺灣地區考生，具有①《臺灣居民來往大陸通行證》或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11"/>
        </w:rPr>
        <w:t>《臺灣居民居住證》和②在臺灣居住的有效身份證明。</w:t>
      </w:r>
    </w:p>
    <w:p>
      <w:pPr>
        <w:pStyle w:val="BodyText"/>
        <w:ind w:left="19" w:right="102" w:firstLine="653"/>
        <w:spacing w:before="125" w:line="26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3.</w:t>
      </w:r>
      <w:r>
        <w:rPr>
          <w:sz w:val="30"/>
          <w:szCs w:val="30"/>
          <w:spacing w:val="8"/>
        </w:rPr>
        <w:t>華僑考生，考生本人及其父母一方均須取得住在國長期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4"/>
        </w:rPr>
        <w:t>或者永久居留權</w:t>
      </w:r>
      <w:r>
        <w:rPr>
          <w:sz w:val="30"/>
          <w:szCs w:val="30"/>
          <w:spacing w:val="-19"/>
        </w:rPr>
        <w:t xml:space="preserve"> </w:t>
      </w:r>
      <w:r>
        <w:rPr>
          <w:sz w:val="30"/>
          <w:szCs w:val="30"/>
          <w:spacing w:val="4"/>
        </w:rPr>
        <w:t>，並已在住在國連續居留 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>2 </w:t>
      </w:r>
      <w:r>
        <w:rPr>
          <w:sz w:val="30"/>
          <w:szCs w:val="30"/>
          <w:spacing w:val="4"/>
        </w:rPr>
        <w:t>年，兩年內累計居</w:t>
      </w:r>
    </w:p>
    <w:p>
      <w:pPr>
        <w:spacing w:line="260" w:lineRule="auto"/>
        <w:sectPr>
          <w:footerReference w:type="default" r:id="rId2"/>
          <w:pgSz w:w="11907" w:h="16839"/>
          <w:pgMar w:top="1247" w:right="1697" w:bottom="1775" w:left="1785" w:header="0" w:footer="1525" w:gutter="0"/>
        </w:sectPr>
        <w:rPr>
          <w:sz w:val="30"/>
          <w:szCs w:val="30"/>
        </w:rPr>
      </w:pPr>
    </w:p>
    <w:p>
      <w:pPr>
        <w:pStyle w:val="BodyText"/>
        <w:ind w:left="19" w:right="152" w:firstLine="19"/>
        <w:spacing w:before="63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留不少於</w:t>
      </w:r>
      <w:r>
        <w:rPr>
          <w:sz w:val="30"/>
          <w:szCs w:val="30"/>
          <w:spacing w:val="27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18 </w:t>
      </w:r>
      <w:r>
        <w:rPr>
          <w:sz w:val="30"/>
          <w:szCs w:val="30"/>
          <w:spacing w:val="6"/>
        </w:rPr>
        <w:t>個月，其中考生本人須在報名前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2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5"/>
        </w:rPr>
        <w:t>年內（即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2022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z w:val="30"/>
          <w:szCs w:val="30"/>
        </w:rPr>
        <w:t>年 </w:t>
      </w:r>
      <w:r>
        <w:rPr>
          <w:rFonts w:ascii="Times New Roman" w:hAnsi="Times New Roman" w:eastAsia="Times New Roman" w:cs="Times New Roman"/>
          <w:sz w:val="30"/>
          <w:szCs w:val="30"/>
        </w:rPr>
        <w:t>4</w:t>
      </w:r>
      <w:r>
        <w:rPr>
          <w:rFonts w:ascii="Times New Roman" w:hAnsi="Times New Roman" w:eastAsia="Times New Roman" w:cs="Times New Roman"/>
          <w:sz w:val="30"/>
          <w:szCs w:val="30"/>
          <w:spacing w:val="30"/>
        </w:rPr>
        <w:t xml:space="preserve"> </w:t>
      </w:r>
      <w:r>
        <w:rPr>
          <w:sz w:val="30"/>
          <w:szCs w:val="30"/>
        </w:rPr>
        <w:t>月</w:t>
      </w:r>
      <w:r>
        <w:rPr>
          <w:sz w:val="30"/>
          <w:szCs w:val="30"/>
          <w:spacing w:val="26"/>
          <w:w w:val="101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1</w:t>
      </w:r>
      <w:r>
        <w:rPr>
          <w:rFonts w:ascii="Times New Roman" w:hAnsi="Times New Roman" w:eastAsia="Times New Roman" w:cs="Times New Roman"/>
          <w:sz w:val="30"/>
          <w:szCs w:val="30"/>
          <w:spacing w:val="63"/>
        </w:rPr>
        <w:t xml:space="preserve"> </w:t>
      </w:r>
      <w:r>
        <w:rPr>
          <w:sz w:val="30"/>
          <w:szCs w:val="30"/>
        </w:rPr>
        <w:t>日</w:t>
      </w:r>
      <w:r>
        <w:rPr>
          <w:rFonts w:ascii="Times New Roman" w:hAnsi="Times New Roman" w:eastAsia="Times New Roman" w:cs="Times New Roman"/>
          <w:sz w:val="30"/>
          <w:szCs w:val="30"/>
        </w:rPr>
        <w:t>—2024 </w:t>
      </w:r>
      <w:r>
        <w:rPr>
          <w:sz w:val="30"/>
          <w:szCs w:val="30"/>
        </w:rPr>
        <w:t>年 </w:t>
      </w:r>
      <w:r>
        <w:rPr>
          <w:rFonts w:ascii="Times New Roman" w:hAnsi="Times New Roman" w:eastAsia="Times New Roman" w:cs="Times New Roman"/>
          <w:sz w:val="30"/>
          <w:szCs w:val="30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29"/>
          <w:w w:val="101"/>
        </w:rPr>
        <w:t xml:space="preserve"> </w:t>
      </w:r>
      <w:r>
        <w:rPr>
          <w:sz w:val="30"/>
          <w:szCs w:val="30"/>
        </w:rPr>
        <w:t>月 </w:t>
      </w:r>
      <w:r>
        <w:rPr>
          <w:rFonts w:ascii="Times New Roman" w:hAnsi="Times New Roman" w:eastAsia="Times New Roman" w:cs="Times New Roman"/>
          <w:sz w:val="30"/>
          <w:szCs w:val="30"/>
        </w:rPr>
        <w:t>31  </w:t>
      </w:r>
      <w:r>
        <w:rPr>
          <w:sz w:val="30"/>
          <w:szCs w:val="30"/>
        </w:rPr>
        <w:t>日）在住在國實際累</w:t>
      </w:r>
      <w:r>
        <w:rPr>
          <w:sz w:val="30"/>
          <w:szCs w:val="30"/>
          <w:spacing w:val="-1"/>
        </w:rPr>
        <w:t>計居留不少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5"/>
        </w:rPr>
        <w:t>於</w:t>
      </w:r>
      <w:r>
        <w:rPr>
          <w:sz w:val="30"/>
          <w:szCs w:val="30"/>
          <w:spacing w:val="2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18 </w:t>
      </w:r>
      <w:r>
        <w:rPr>
          <w:sz w:val="30"/>
          <w:szCs w:val="30"/>
          <w:spacing w:val="5"/>
        </w:rPr>
        <w:t>個月。</w:t>
      </w:r>
    </w:p>
    <w:p>
      <w:pPr>
        <w:pStyle w:val="BodyText"/>
        <w:ind w:left="19" w:right="52" w:firstLine="645"/>
        <w:spacing w:before="111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19"/>
        </w:rPr>
        <w:t>若考生本人或其父母一方未取得住在國長期或</w:t>
      </w:r>
      <w:r>
        <w:rPr>
          <w:sz w:val="30"/>
          <w:szCs w:val="30"/>
          <w:spacing w:val="18"/>
        </w:rPr>
        <w:t>永久居留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6"/>
        </w:rPr>
        <w:t>權 ，但已取得住在國連續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5 </w:t>
      </w:r>
      <w:r>
        <w:rPr>
          <w:sz w:val="30"/>
          <w:szCs w:val="30"/>
          <w:spacing w:val="6"/>
        </w:rPr>
        <w:t>年以上（含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5 </w:t>
      </w:r>
      <w:r>
        <w:rPr>
          <w:sz w:val="30"/>
          <w:szCs w:val="30"/>
          <w:spacing w:val="6"/>
        </w:rPr>
        <w:t>年</w:t>
      </w:r>
      <w:r>
        <w:rPr>
          <w:sz w:val="30"/>
          <w:szCs w:val="30"/>
          <w:spacing w:val="5"/>
        </w:rPr>
        <w:t>）合法居留資格、</w:t>
      </w:r>
      <w:r>
        <w:rPr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5</w:t>
      </w:r>
      <w:r>
        <w:rPr>
          <w:rFonts w:ascii="Times New Roman" w:hAnsi="Times New Roman" w:eastAsia="Times New Roman" w:cs="Times New Roman"/>
          <w:sz w:val="30"/>
          <w:szCs w:val="30"/>
          <w:spacing w:val="68"/>
        </w:rPr>
        <w:t xml:space="preserve"> </w:t>
      </w:r>
      <w:r>
        <w:rPr>
          <w:sz w:val="30"/>
          <w:szCs w:val="30"/>
          <w:spacing w:val="8"/>
        </w:rPr>
        <w:t>年內在住在國累計居留不少於</w:t>
      </w:r>
      <w:r>
        <w:rPr>
          <w:sz w:val="30"/>
          <w:szCs w:val="30"/>
          <w:spacing w:val="61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30</w:t>
      </w:r>
      <w:r>
        <w:rPr>
          <w:rFonts w:ascii="Times New Roman" w:hAnsi="Times New Roman" w:eastAsia="Times New Roman" w:cs="Times New Roman"/>
          <w:sz w:val="30"/>
          <w:szCs w:val="30"/>
          <w:spacing w:val="66"/>
        </w:rPr>
        <w:t xml:space="preserve"> </w:t>
      </w:r>
      <w:r>
        <w:rPr>
          <w:sz w:val="30"/>
          <w:szCs w:val="30"/>
          <w:spacing w:val="8"/>
        </w:rPr>
        <w:t>個月，且考生本人在報名</w:t>
      </w:r>
      <w:r>
        <w:rPr>
          <w:sz w:val="30"/>
          <w:szCs w:val="30"/>
        </w:rPr>
        <w:t xml:space="preserve">  </w:t>
      </w:r>
      <w:r>
        <w:rPr>
          <w:sz w:val="30"/>
          <w:szCs w:val="30"/>
        </w:rPr>
        <w:t>前 </w:t>
      </w:r>
      <w:r>
        <w:rPr>
          <w:rFonts w:ascii="Times New Roman" w:hAnsi="Times New Roman" w:eastAsia="Times New Roman" w:cs="Times New Roman"/>
          <w:sz w:val="30"/>
          <w:szCs w:val="30"/>
        </w:rPr>
        <w:t>5</w:t>
      </w:r>
      <w:r>
        <w:rPr>
          <w:rFonts w:ascii="Times New Roman" w:hAnsi="Times New Roman" w:eastAsia="Times New Roman" w:cs="Times New Roman"/>
          <w:sz w:val="30"/>
          <w:szCs w:val="30"/>
          <w:spacing w:val="22"/>
        </w:rPr>
        <w:t xml:space="preserve"> </w:t>
      </w:r>
      <w:r>
        <w:rPr>
          <w:sz w:val="30"/>
          <w:szCs w:val="30"/>
        </w:rPr>
        <w:t>年內（即</w:t>
      </w:r>
      <w:r>
        <w:rPr>
          <w:sz w:val="30"/>
          <w:szCs w:val="30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2019</w:t>
      </w:r>
      <w:r>
        <w:rPr>
          <w:rFonts w:ascii="Times New Roman" w:hAnsi="Times New Roman" w:eastAsia="Times New Roman" w:cs="Times New Roman"/>
          <w:sz w:val="30"/>
          <w:szCs w:val="30"/>
          <w:spacing w:val="22"/>
          <w:w w:val="101"/>
        </w:rPr>
        <w:t xml:space="preserve"> </w:t>
      </w:r>
      <w:r>
        <w:rPr>
          <w:sz w:val="30"/>
          <w:szCs w:val="30"/>
        </w:rPr>
        <w:t>年 </w:t>
      </w:r>
      <w:r>
        <w:rPr>
          <w:rFonts w:ascii="Times New Roman" w:hAnsi="Times New Roman" w:eastAsia="Times New Roman" w:cs="Times New Roman"/>
          <w:sz w:val="30"/>
          <w:szCs w:val="30"/>
        </w:rPr>
        <w:t>4</w:t>
      </w:r>
      <w:r>
        <w:rPr>
          <w:rFonts w:ascii="Times New Roman" w:hAnsi="Times New Roman" w:eastAsia="Times New Roman" w:cs="Times New Roman"/>
          <w:sz w:val="30"/>
          <w:szCs w:val="30"/>
          <w:spacing w:val="41"/>
        </w:rPr>
        <w:t xml:space="preserve"> </w:t>
      </w:r>
      <w:r>
        <w:rPr>
          <w:sz w:val="30"/>
          <w:szCs w:val="30"/>
        </w:rPr>
        <w:t>月</w:t>
      </w:r>
      <w:r>
        <w:rPr>
          <w:sz w:val="30"/>
          <w:szCs w:val="30"/>
          <w:spacing w:val="39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1  </w:t>
      </w:r>
      <w:r>
        <w:rPr>
          <w:sz w:val="30"/>
          <w:szCs w:val="30"/>
        </w:rPr>
        <w:t>日</w:t>
      </w:r>
      <w:r>
        <w:rPr>
          <w:rFonts w:ascii="Times New Roman" w:hAnsi="Times New Roman" w:eastAsia="Times New Roman" w:cs="Times New Roman"/>
          <w:sz w:val="30"/>
          <w:szCs w:val="30"/>
        </w:rPr>
        <w:t>—2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024</w:t>
      </w:r>
      <w:r>
        <w:rPr>
          <w:rFonts w:ascii="Times New Roman" w:hAnsi="Times New Roman" w:eastAsia="Times New Roman" w:cs="Times New Roman"/>
          <w:sz w:val="30"/>
          <w:szCs w:val="30"/>
          <w:spacing w:val="23"/>
        </w:rPr>
        <w:t xml:space="preserve"> </w:t>
      </w:r>
      <w:r>
        <w:rPr>
          <w:sz w:val="30"/>
          <w:szCs w:val="30"/>
          <w:spacing w:val="-1"/>
        </w:rPr>
        <w:t>年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39"/>
          <w:w w:val="101"/>
        </w:rPr>
        <w:t xml:space="preserve"> </w:t>
      </w:r>
      <w:r>
        <w:rPr>
          <w:sz w:val="30"/>
          <w:szCs w:val="30"/>
          <w:spacing w:val="-1"/>
        </w:rPr>
        <w:t>月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31  </w:t>
      </w:r>
      <w:r>
        <w:rPr>
          <w:sz w:val="30"/>
          <w:szCs w:val="30"/>
          <w:spacing w:val="-1"/>
        </w:rPr>
        <w:t>日）在住在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9"/>
        </w:rPr>
        <w:t>國實際累計居留不少於 </w:t>
      </w:r>
      <w:r>
        <w:rPr>
          <w:rFonts w:ascii="Times New Roman" w:hAnsi="Times New Roman" w:eastAsia="Times New Roman" w:cs="Times New Roman"/>
          <w:sz w:val="30"/>
          <w:szCs w:val="30"/>
          <w:spacing w:val="9"/>
        </w:rPr>
        <w:t>30 </w:t>
      </w:r>
      <w:r>
        <w:rPr>
          <w:sz w:val="30"/>
          <w:szCs w:val="30"/>
          <w:spacing w:val="9"/>
        </w:rPr>
        <w:t>個月的，也可參加報名。</w:t>
      </w:r>
    </w:p>
    <w:p>
      <w:pPr>
        <w:pStyle w:val="BodyText"/>
        <w:ind w:left="19" w:right="153" w:firstLine="679"/>
        <w:spacing w:before="104" w:line="261" w:lineRule="auto"/>
        <w:jc w:val="both"/>
        <w:rPr>
          <w:sz w:val="30"/>
          <w:szCs w:val="30"/>
        </w:rPr>
      </w:pPr>
      <w:r>
        <w:rPr>
          <w:sz w:val="30"/>
          <w:szCs w:val="30"/>
          <w:spacing w:val="1"/>
        </w:rPr>
        <w:t>中國公民出國留學（包括公派和自費）在外學習期間</w:t>
      </w:r>
      <w:r>
        <w:rPr>
          <w:sz w:val="30"/>
          <w:szCs w:val="30"/>
          <w:spacing w:val="-1"/>
        </w:rPr>
        <w:t xml:space="preserve"> </w:t>
      </w:r>
      <w:r>
        <w:rPr>
          <w:sz w:val="30"/>
          <w:szCs w:val="30"/>
          <w:spacing w:val="1"/>
        </w:rPr>
        <w:t>，或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4"/>
        </w:rPr>
        <w:t>因公務出國（包括外派勞務人員）在外工作期間 ，均不視為華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"/>
        </w:rPr>
        <w:t>僑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2"/>
        </w:rPr>
        <w:t>。</w:t>
      </w:r>
    </w:p>
    <w:p>
      <w:pPr>
        <w:pStyle w:val="BodyText"/>
        <w:ind w:left="659"/>
        <w:spacing w:before="104" w:line="185" w:lineRule="auto"/>
        <w:outlineLvl w:val="0"/>
        <w:rPr>
          <w:sz w:val="30"/>
          <w:szCs w:val="30"/>
        </w:rPr>
      </w:pPr>
      <w:r>
        <w:rPr>
          <w:sz w:val="30"/>
          <w:szCs w:val="30"/>
          <w:b/>
          <w:bCs/>
          <w:spacing w:val="-3"/>
        </w:rPr>
        <w:t>（二） 報名時間</w:t>
      </w:r>
    </w:p>
    <w:p>
      <w:pPr>
        <w:pStyle w:val="BodyText"/>
        <w:ind w:left="24" w:right="124" w:firstLine="645"/>
        <w:spacing w:before="263" w:line="259" w:lineRule="auto"/>
        <w:rPr>
          <w:sz w:val="30"/>
          <w:szCs w:val="30"/>
        </w:rPr>
      </w:pPr>
      <w:r>
        <w:rPr>
          <w:sz w:val="30"/>
          <w:szCs w:val="30"/>
          <w:spacing w:val="-8"/>
        </w:rPr>
        <w:t>報名時間為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2024 </w:t>
      </w:r>
      <w:r>
        <w:rPr>
          <w:sz w:val="30"/>
          <w:szCs w:val="30"/>
          <w:spacing w:val="-8"/>
        </w:rPr>
        <w:t>年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34"/>
        </w:rPr>
        <w:t xml:space="preserve"> </w:t>
      </w:r>
      <w:r>
        <w:rPr>
          <w:sz w:val="30"/>
          <w:szCs w:val="30"/>
          <w:spacing w:val="-8"/>
        </w:rPr>
        <w:t>月</w:t>
      </w:r>
      <w:r>
        <w:rPr>
          <w:sz w:val="30"/>
          <w:szCs w:val="30"/>
          <w:spacing w:val="25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1  </w:t>
      </w:r>
      <w:r>
        <w:rPr>
          <w:sz w:val="30"/>
          <w:szCs w:val="30"/>
          <w:spacing w:val="-8"/>
        </w:rPr>
        <w:t>日至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29"/>
        </w:rPr>
        <w:t xml:space="preserve"> </w:t>
      </w:r>
      <w:r>
        <w:rPr>
          <w:sz w:val="30"/>
          <w:szCs w:val="30"/>
          <w:spacing w:val="-8"/>
        </w:rPr>
        <w:t>月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31  </w:t>
      </w:r>
      <w:r>
        <w:rPr>
          <w:sz w:val="30"/>
          <w:szCs w:val="30"/>
          <w:spacing w:val="-8"/>
        </w:rPr>
        <w:t>日，其中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30"/>
        </w:rPr>
        <w:t xml:space="preserve"> </w:t>
      </w:r>
      <w:r>
        <w:rPr>
          <w:sz w:val="30"/>
          <w:szCs w:val="30"/>
          <w:spacing w:val="-8"/>
        </w:rPr>
        <w:t>月</w:t>
      </w:r>
      <w:r>
        <w:rPr>
          <w:sz w:val="30"/>
          <w:szCs w:val="30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1  </w:t>
      </w:r>
      <w:r>
        <w:rPr>
          <w:sz w:val="30"/>
          <w:szCs w:val="30"/>
          <w:spacing w:val="-8"/>
        </w:rPr>
        <w:t>日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6"/>
        </w:rPr>
        <w:t>至</w:t>
      </w:r>
      <w:r>
        <w:rPr>
          <w:sz w:val="30"/>
          <w:szCs w:val="30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15</w:t>
      </w:r>
      <w:r>
        <w:rPr>
          <w:rFonts w:ascii="Times New Roman" w:hAnsi="Times New Roman" w:eastAsia="Times New Roman" w:cs="Times New Roman"/>
          <w:sz w:val="30"/>
          <w:szCs w:val="30"/>
          <w:spacing w:val="61"/>
        </w:rPr>
        <w:t xml:space="preserve"> </w:t>
      </w:r>
      <w:r>
        <w:rPr>
          <w:sz w:val="30"/>
          <w:szCs w:val="30"/>
          <w:spacing w:val="-6"/>
        </w:rPr>
        <w:t>日為網上報名時間</w:t>
      </w:r>
      <w:r>
        <w:rPr>
          <w:sz w:val="30"/>
          <w:szCs w:val="30"/>
          <w:spacing w:val="-52"/>
        </w:rPr>
        <w:t xml:space="preserve"> </w:t>
      </w:r>
      <w:r>
        <w:rPr>
          <w:sz w:val="30"/>
          <w:szCs w:val="30"/>
          <w:spacing w:val="-6"/>
        </w:rPr>
        <w:t>，</w:t>
      </w:r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30"/>
        </w:rPr>
        <w:t xml:space="preserve"> </w:t>
      </w:r>
      <w:r>
        <w:rPr>
          <w:sz w:val="30"/>
          <w:szCs w:val="30"/>
          <w:spacing w:val="-6"/>
        </w:rPr>
        <w:t>月</w:t>
      </w:r>
      <w:r>
        <w:rPr>
          <w:sz w:val="30"/>
          <w:szCs w:val="30"/>
          <w:spacing w:val="25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11</w:t>
      </w:r>
      <w:r>
        <w:rPr>
          <w:rFonts w:ascii="Times New Roman" w:hAnsi="Times New Roman" w:eastAsia="Times New Roman" w:cs="Times New Roman"/>
          <w:sz w:val="30"/>
          <w:szCs w:val="30"/>
          <w:spacing w:val="60"/>
          <w:w w:val="101"/>
        </w:rPr>
        <w:t xml:space="preserve"> </w:t>
      </w:r>
      <w:r>
        <w:rPr>
          <w:sz w:val="30"/>
          <w:szCs w:val="30"/>
          <w:spacing w:val="-6"/>
        </w:rPr>
        <w:t>日至 </w:t>
      </w:r>
      <w:r>
        <w:rPr>
          <w:rFonts w:ascii="Times New Roman" w:hAnsi="Times New Roman" w:eastAsia="Times New Roman" w:cs="Times New Roman"/>
          <w:sz w:val="30"/>
          <w:szCs w:val="30"/>
          <w:spacing w:val="-7"/>
        </w:rPr>
        <w:t>31</w:t>
      </w:r>
      <w:r>
        <w:rPr>
          <w:rFonts w:ascii="Times New Roman" w:hAnsi="Times New Roman" w:eastAsia="Times New Roman" w:cs="Times New Roman"/>
          <w:sz w:val="30"/>
          <w:szCs w:val="30"/>
          <w:spacing w:val="61"/>
        </w:rPr>
        <w:t xml:space="preserve"> </w:t>
      </w:r>
      <w:r>
        <w:rPr>
          <w:sz w:val="30"/>
          <w:szCs w:val="30"/>
          <w:spacing w:val="-7"/>
        </w:rPr>
        <w:t>日為報名確認時間。</w:t>
      </w:r>
    </w:p>
    <w:p>
      <w:pPr>
        <w:pStyle w:val="BodyText"/>
        <w:ind w:left="659"/>
        <w:spacing w:before="108" w:line="185" w:lineRule="auto"/>
        <w:outlineLvl w:val="0"/>
        <w:rPr>
          <w:sz w:val="30"/>
          <w:szCs w:val="30"/>
        </w:rPr>
      </w:pPr>
      <w:r>
        <w:rPr>
          <w:sz w:val="30"/>
          <w:szCs w:val="30"/>
          <w:b/>
          <w:bCs/>
          <w:spacing w:val="-3"/>
        </w:rPr>
        <w:t>（三） 報名方式</w:t>
      </w:r>
    </w:p>
    <w:p>
      <w:pPr>
        <w:pStyle w:val="BodyText"/>
        <w:ind w:left="24" w:right="153" w:firstLine="640"/>
        <w:spacing w:before="264" w:line="260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採用網上報名和報名確認相結合的方式，其中港澳臺考生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5"/>
        </w:rPr>
        <w:t>實行網上報名確認 ，華僑考生實行現場報名確認 。</w:t>
      </w:r>
    </w:p>
    <w:p>
      <w:pPr>
        <w:pStyle w:val="BodyText"/>
        <w:ind w:left="691"/>
        <w:spacing w:before="105" w:line="185" w:lineRule="auto"/>
        <w:rPr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1.</w:t>
      </w:r>
      <w:r>
        <w:rPr>
          <w:sz w:val="30"/>
          <w:szCs w:val="30"/>
          <w:spacing w:val="6"/>
        </w:rPr>
        <w:t>網上報名（包括所有考生）</w:t>
      </w:r>
    </w:p>
    <w:p>
      <w:pPr>
        <w:pStyle w:val="BodyText"/>
        <w:ind w:left="24" w:right="151" w:firstLine="635"/>
        <w:spacing w:before="263" w:line="223" w:lineRule="auto"/>
        <w:rPr>
          <w:sz w:val="30"/>
          <w:szCs w:val="30"/>
        </w:rPr>
      </w:pPr>
      <w:r>
        <w:rPr>
          <w:sz w:val="30"/>
          <w:szCs w:val="30"/>
        </w:rPr>
        <w:t>（</w:t>
      </w:r>
      <w:r>
        <w:rPr>
          <w:rFonts w:ascii="FangSong" w:hAnsi="FangSong" w:eastAsia="FangSong" w:cs="FangSong"/>
          <w:sz w:val="30"/>
          <w:szCs w:val="30"/>
        </w:rPr>
        <w:t>1</w:t>
      </w:r>
      <w:r>
        <w:rPr>
          <w:sz w:val="30"/>
          <w:szCs w:val="30"/>
        </w:rPr>
        <w:t>）網報入口：全國聯招管理系統考生端（以下簡稱報名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12"/>
        </w:rPr>
        <w:t>系統</w:t>
      </w:r>
      <w:r>
        <w:rPr>
          <w:sz w:val="30"/>
          <w:szCs w:val="30"/>
          <w:spacing w:val="17"/>
        </w:rPr>
        <w:t>），</w:t>
      </w:r>
      <w:r>
        <w:rPr>
          <w:sz w:val="30"/>
          <w:szCs w:val="30"/>
          <w:spacing w:val="12"/>
        </w:rPr>
        <w:t>網址：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http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://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www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.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eeagd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.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edu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.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cn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/</w:t>
      </w:r>
      <w:r>
        <w:rPr>
          <w:rFonts w:ascii="FangSong" w:hAnsi="FangSong" w:eastAsia="FangSong" w:cs="FangSong"/>
          <w:sz w:val="30"/>
          <w:szCs w:val="30"/>
          <w:u w:val="single" w:color="auto"/>
        </w:rPr>
        <w:t>lzks</w:t>
      </w:r>
      <w:r>
        <w:rPr>
          <w:rFonts w:ascii="FangSong" w:hAnsi="FangSong" w:eastAsia="FangSong" w:cs="FangSong"/>
          <w:sz w:val="30"/>
          <w:szCs w:val="30"/>
          <w:u w:val="single" w:color="auto"/>
          <w:spacing w:val="12"/>
        </w:rPr>
        <w:t>/</w:t>
      </w:r>
      <w:r>
        <w:rPr>
          <w:rFonts w:ascii="FangSong" w:hAnsi="FangSong" w:eastAsia="FangSong" w:cs="FangSong"/>
          <w:sz w:val="30"/>
          <w:szCs w:val="30"/>
          <w:spacing w:val="-45"/>
        </w:rPr>
        <w:t xml:space="preserve"> </w:t>
      </w:r>
      <w:r>
        <w:rPr>
          <w:sz w:val="30"/>
          <w:szCs w:val="30"/>
          <w:spacing w:val="12"/>
        </w:rPr>
        <w:t>。</w:t>
      </w:r>
    </w:p>
    <w:p>
      <w:pPr>
        <w:pStyle w:val="BodyText"/>
        <w:ind w:left="24" w:firstLine="635"/>
        <w:spacing w:before="263" w:line="224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12"/>
        </w:rPr>
        <w:t>2</w:t>
      </w:r>
      <w:r>
        <w:rPr>
          <w:sz w:val="30"/>
          <w:szCs w:val="30"/>
          <w:spacing w:val="12"/>
        </w:rPr>
        <w:t>）網報流程：註冊</w:t>
      </w:r>
      <w:r>
        <w:rPr>
          <w:rFonts w:ascii="Times New Roman" w:hAnsi="Times New Roman" w:eastAsia="Times New Roman" w:cs="Times New Roman"/>
          <w:sz w:val="30"/>
          <w:szCs w:val="30"/>
          <w:spacing w:val="12"/>
        </w:rPr>
        <w:t>——</w:t>
      </w:r>
      <w:r>
        <w:rPr>
          <w:sz w:val="30"/>
          <w:szCs w:val="30"/>
          <w:spacing w:val="12"/>
        </w:rPr>
        <w:t>輸入報考資訊並上傳材料</w:t>
      </w:r>
      <w:r>
        <w:rPr>
          <w:rFonts w:ascii="Times New Roman" w:hAnsi="Times New Roman" w:eastAsia="Times New Roman" w:cs="Times New Roman"/>
          <w:sz w:val="30"/>
          <w:szCs w:val="30"/>
          <w:spacing w:val="12"/>
        </w:rPr>
        <w:t>——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 xml:space="preserve">   </w:t>
      </w:r>
      <w:r>
        <w:rPr>
          <w:sz w:val="30"/>
          <w:szCs w:val="30"/>
          <w:spacing w:val="5"/>
        </w:rPr>
        <w:t>上傳照片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——</w:t>
      </w:r>
      <w:r>
        <w:rPr>
          <w:sz w:val="30"/>
          <w:szCs w:val="30"/>
          <w:spacing w:val="5"/>
        </w:rPr>
        <w:t>繳付報考費（僅限內地考區 ，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550  </w:t>
      </w:r>
      <w:r>
        <w:rPr>
          <w:sz w:val="30"/>
          <w:szCs w:val="30"/>
          <w:spacing w:val="5"/>
        </w:rPr>
        <w:t>元人民幣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/</w:t>
      </w:r>
      <w:r>
        <w:rPr>
          <w:sz w:val="30"/>
          <w:szCs w:val="30"/>
          <w:spacing w:val="5"/>
        </w:rPr>
        <w:t>人）</w:t>
      </w:r>
    </w:p>
    <w:p>
      <w:pPr>
        <w:spacing w:line="224" w:lineRule="auto"/>
        <w:sectPr>
          <w:footerReference w:type="default" r:id="rId3"/>
          <w:pgSz w:w="11907" w:h="16839"/>
          <w:pgMar w:top="1271" w:right="1646" w:bottom="1775" w:left="1785" w:header="0" w:footer="1527" w:gutter="0"/>
        </w:sectPr>
        <w:rPr>
          <w:sz w:val="30"/>
          <w:szCs w:val="30"/>
        </w:rPr>
      </w:pPr>
    </w:p>
    <w:p>
      <w:pPr>
        <w:pStyle w:val="BodyText"/>
        <w:ind w:left="24" w:right="43" w:hanging="12"/>
        <w:spacing w:before="63" w:line="26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——</w:t>
      </w:r>
      <w:r>
        <w:rPr>
          <w:sz w:val="30"/>
          <w:szCs w:val="30"/>
          <w:spacing w:val="8"/>
        </w:rPr>
        <w:t>預約現場確認時間（僅限華僑考生）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——</w:t>
      </w:r>
      <w:r>
        <w:rPr>
          <w:sz w:val="30"/>
          <w:szCs w:val="30"/>
          <w:spacing w:val="8"/>
        </w:rPr>
        <w:t>提交報名確認 。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8"/>
        </w:rPr>
        <w:t>報考費一旦繳交，恕不退還 。</w:t>
      </w:r>
    </w:p>
    <w:p>
      <w:pPr>
        <w:pStyle w:val="BodyText"/>
        <w:ind w:left="19" w:right="151" w:firstLine="640"/>
        <w:spacing w:before="104" w:line="225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（</w:t>
      </w:r>
      <w:r>
        <w:rPr>
          <w:rFonts w:ascii="FangSong" w:hAnsi="FangSong" w:eastAsia="FangSong" w:cs="FangSong"/>
          <w:sz w:val="30"/>
          <w:szCs w:val="30"/>
          <w:spacing w:val="12"/>
        </w:rPr>
        <w:t>3</w:t>
      </w:r>
      <w:r>
        <w:rPr>
          <w:sz w:val="30"/>
          <w:szCs w:val="30"/>
          <w:spacing w:val="12"/>
        </w:rPr>
        <w:t>）考生應上傳個人證件正反面照片，所持有證件須在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6"/>
        </w:rPr>
        <w:t>有效期內 。</w:t>
      </w:r>
    </w:p>
    <w:p>
      <w:pPr>
        <w:pStyle w:val="BodyText"/>
        <w:ind w:left="14" w:right="151" w:firstLine="645"/>
        <w:spacing w:before="251" w:line="247" w:lineRule="auto"/>
        <w:rPr>
          <w:sz w:val="30"/>
          <w:szCs w:val="30"/>
        </w:rPr>
      </w:pPr>
      <w:r>
        <w:rPr>
          <w:sz w:val="30"/>
          <w:szCs w:val="30"/>
        </w:rPr>
        <w:t>（</w:t>
      </w:r>
      <w:r>
        <w:rPr>
          <w:rFonts w:ascii="Times New Roman" w:hAnsi="Times New Roman" w:eastAsia="Times New Roman" w:cs="Times New Roman"/>
          <w:sz w:val="30"/>
          <w:szCs w:val="30"/>
        </w:rPr>
        <w:t>4</w:t>
      </w:r>
      <w:r>
        <w:rPr>
          <w:sz w:val="30"/>
          <w:szCs w:val="30"/>
        </w:rPr>
        <w:t>）考生應提供其高中畢業文化程度（</w:t>
      </w:r>
      <w:r>
        <w:rPr>
          <w:sz w:val="30"/>
          <w:szCs w:val="30"/>
          <w:b/>
          <w:bCs/>
        </w:rPr>
        <w:t>須為學歷教育</w:t>
      </w:r>
      <w:r>
        <w:rPr>
          <w:sz w:val="30"/>
          <w:szCs w:val="30"/>
        </w:rPr>
        <w:t>）的 </w:t>
      </w:r>
      <w:r>
        <w:rPr>
          <w:sz w:val="30"/>
          <w:szCs w:val="30"/>
          <w:spacing w:val="7"/>
        </w:rPr>
        <w:t>證明材料。應屆高中畢業生須上傳畢業中學開具的畢業證明及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7"/>
        </w:rPr>
        <w:t>高一到高三上學期的成績單正本。往屆生須上傳高中畢業證書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7"/>
        </w:rPr>
        <w:t>（證明）及高中三年成績單正本。持國外學歷的考生須同時上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1"/>
        </w:rPr>
        <w:t>傳由國外就讀學校出具的學歷證明材料。</w:t>
      </w:r>
    </w:p>
    <w:p>
      <w:pPr>
        <w:pStyle w:val="BodyText"/>
        <w:ind w:left="24" w:right="151" w:firstLine="635"/>
        <w:spacing w:before="253" w:line="226" w:lineRule="auto"/>
        <w:rPr>
          <w:sz w:val="30"/>
          <w:szCs w:val="30"/>
        </w:rPr>
      </w:pPr>
      <w:r>
        <w:rPr>
          <w:sz w:val="30"/>
          <w:szCs w:val="30"/>
          <w:spacing w:val="12"/>
        </w:rPr>
        <w:t>（</w:t>
      </w:r>
      <w:r>
        <w:rPr>
          <w:rFonts w:ascii="FangSong" w:hAnsi="FangSong" w:eastAsia="FangSong" w:cs="FangSong"/>
          <w:sz w:val="30"/>
          <w:szCs w:val="30"/>
          <w:spacing w:val="12"/>
        </w:rPr>
        <w:t>5</w:t>
      </w:r>
      <w:r>
        <w:rPr>
          <w:sz w:val="30"/>
          <w:szCs w:val="30"/>
          <w:spacing w:val="12"/>
        </w:rPr>
        <w:t>）持港澳地區學歷的港澳臺考生須在畢業中學所在地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16"/>
        </w:rPr>
        <w:t>報考。</w:t>
      </w:r>
    </w:p>
    <w:p>
      <w:pPr>
        <w:pStyle w:val="BodyText"/>
        <w:ind w:left="684"/>
        <w:spacing w:before="252" w:line="185" w:lineRule="auto"/>
        <w:rPr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2.</w:t>
      </w:r>
      <w:r>
        <w:rPr>
          <w:sz w:val="30"/>
          <w:szCs w:val="30"/>
          <w:spacing w:val="7"/>
        </w:rPr>
        <w:t>網上報名確認（僅限港澳臺考生）</w:t>
      </w:r>
    </w:p>
    <w:p>
      <w:pPr>
        <w:pStyle w:val="BodyText"/>
        <w:ind w:left="19" w:right="151" w:firstLine="650"/>
        <w:spacing w:before="270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港澳臺考生實行網上報名確認，由各考區負責確認在本考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區考試的港澳臺考生報名資格。考生應及時登錄報名系統查看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確認結果，確認不通過的考生需在規定時間內更正有關資訊並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再次提交，逾期不再受理。選擇在香港、澳門參加考試且報名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7"/>
        </w:rPr>
        <w:t>確認通過的考生須按報名點要求按時繳交報考費，否則不予參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6"/>
        </w:rPr>
        <w:t>加考試 。</w:t>
      </w:r>
    </w:p>
    <w:p>
      <w:pPr>
        <w:pStyle w:val="BodyText"/>
        <w:ind w:left="696"/>
        <w:spacing w:before="107" w:line="185" w:lineRule="auto"/>
        <w:rPr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3.</w:t>
      </w:r>
      <w:r>
        <w:rPr>
          <w:sz w:val="30"/>
          <w:szCs w:val="30"/>
          <w:spacing w:val="6"/>
        </w:rPr>
        <w:t>現場確認報名（僅限華僑考生）</w:t>
      </w:r>
    </w:p>
    <w:p>
      <w:pPr>
        <w:pStyle w:val="BodyText"/>
        <w:ind w:left="19" w:firstLine="650"/>
        <w:spacing w:before="267" w:line="258" w:lineRule="auto"/>
        <w:jc w:val="both"/>
        <w:rPr>
          <w:sz w:val="30"/>
          <w:szCs w:val="30"/>
        </w:rPr>
      </w:pPr>
      <w:r>
        <w:rPr>
          <w:sz w:val="30"/>
          <w:szCs w:val="30"/>
          <w:spacing w:val="12"/>
        </w:rPr>
        <w:t>華僑考生實行現場確認報名，由廣州報名點（暨南大學）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7"/>
        </w:rPr>
        <w:t>負責 。考生在現場確認報名時須向報名點提交以下報名資料，</w:t>
      </w:r>
      <w:r>
        <w:rPr>
          <w:sz w:val="30"/>
          <w:szCs w:val="30"/>
          <w:spacing w:val="13"/>
        </w:rPr>
        <w:t xml:space="preserve"> </w:t>
      </w:r>
      <w:r>
        <w:rPr>
          <w:sz w:val="30"/>
          <w:szCs w:val="30"/>
          <w:spacing w:val="4"/>
        </w:rPr>
        <w:t>所有提交的資料需為正本，其中應屆生畢業證明、成績單 、國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7"/>
        </w:rPr>
        <w:t>外學歷及華僑居留權認證書（或附加證明書）須留下備查。①</w:t>
      </w:r>
    </w:p>
    <w:p>
      <w:pPr>
        <w:spacing w:line="258" w:lineRule="auto"/>
        <w:sectPr>
          <w:footerReference w:type="default" r:id="rId4"/>
          <w:pgSz w:w="11907" w:h="16839"/>
          <w:pgMar w:top="1271" w:right="1648" w:bottom="1775" w:left="1785" w:header="0" w:footer="1525" w:gutter="0"/>
        </w:sectPr>
        <w:rPr>
          <w:sz w:val="30"/>
          <w:szCs w:val="30"/>
        </w:rPr>
      </w:pPr>
    </w:p>
    <w:p>
      <w:pPr>
        <w:pStyle w:val="BodyText"/>
        <w:ind w:left="14" w:right="19" w:firstLine="4"/>
        <w:spacing w:before="49" w:line="261" w:lineRule="auto"/>
        <w:jc w:val="both"/>
        <w:rPr>
          <w:sz w:val="30"/>
          <w:szCs w:val="30"/>
        </w:rPr>
      </w:pPr>
      <w:r>
        <w:rPr>
          <w:sz w:val="30"/>
          <w:szCs w:val="30"/>
          <w:spacing w:val="7"/>
        </w:rPr>
        <w:t>與其具有華僑身份父母一方法律關係的證明文書（如考生父母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均已離世，需出具考生父母華僑身份證明、死亡證明等相關法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2"/>
        </w:rPr>
        <w:t>律材料</w:t>
      </w:r>
      <w:r>
        <w:rPr>
          <w:sz w:val="30"/>
          <w:szCs w:val="30"/>
          <w:spacing w:val="-64"/>
          <w:w w:val="88"/>
        </w:rPr>
        <w:t>）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-64"/>
          <w:w w:val="88"/>
        </w:rPr>
        <w:t>；</w:t>
      </w:r>
      <w:r>
        <w:rPr>
          <w:sz w:val="30"/>
          <w:szCs w:val="30"/>
          <w:spacing w:val="12"/>
        </w:rPr>
        <w:t>②由我國駐外使（領）館開具的本人及其父母一方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9"/>
        </w:rPr>
        <w:t>獲外國長期或永久居留權的認證書或由住在國出具的相關附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加證明書（中文版，須注明已在住在國連續居留時間及兩年內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5"/>
        </w:rPr>
        <w:t>實際累計居留時間）</w:t>
      </w:r>
      <w:r>
        <w:rPr>
          <w:sz w:val="30"/>
          <w:szCs w:val="30"/>
          <w:spacing w:val="-20"/>
        </w:rPr>
        <w:t xml:space="preserve"> </w:t>
      </w:r>
      <w:r>
        <w:rPr>
          <w:sz w:val="30"/>
          <w:szCs w:val="30"/>
          <w:spacing w:val="5"/>
        </w:rPr>
        <w:t>、已取得住在國合法居留資格認證書或附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加證明書（中文版，須注明本人及其父母一方已取得住在國合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8"/>
        </w:rPr>
        <w:t>法居留資格的連續時間及 </w:t>
      </w:r>
      <w:r>
        <w:rPr>
          <w:rFonts w:ascii="FangSong" w:hAnsi="FangSong" w:eastAsia="FangSong" w:cs="FangSong"/>
          <w:sz w:val="30"/>
          <w:szCs w:val="30"/>
          <w:spacing w:val="8"/>
        </w:rPr>
        <w:t>5</w:t>
      </w:r>
      <w:r>
        <w:rPr>
          <w:rFonts w:ascii="FangSong" w:hAnsi="FangSong" w:eastAsia="FangSong" w:cs="FangSong"/>
          <w:sz w:val="30"/>
          <w:szCs w:val="30"/>
          <w:spacing w:val="-67"/>
        </w:rPr>
        <w:t xml:space="preserve"> </w:t>
      </w:r>
      <w:r>
        <w:rPr>
          <w:sz w:val="30"/>
          <w:szCs w:val="30"/>
          <w:spacing w:val="8"/>
        </w:rPr>
        <w:t>年以內實際累計居留時間</w:t>
      </w:r>
      <w:r>
        <w:rPr>
          <w:sz w:val="30"/>
          <w:szCs w:val="30"/>
          <w:spacing w:val="-14"/>
        </w:rPr>
        <w:t>）；</w:t>
      </w:r>
      <w:r>
        <w:rPr>
          <w:sz w:val="30"/>
          <w:szCs w:val="30"/>
          <w:spacing w:val="8"/>
        </w:rPr>
        <w:t>③考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生本人及其具有華僑身份父母一方的中華人民共和國護照；④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7"/>
        </w:rPr>
        <w:t>網報時提交的學歷證明材料原件。若定居在尚未與我國建交國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7"/>
        </w:rPr>
        <w:t>家，須出示同我國和其定居國均有外交關係的第三國駐該國使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4"/>
        </w:rPr>
        <w:t>（領）館辦理的居留權認證 ，和我國駐第三國的使（領）館開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8"/>
        </w:rPr>
        <w:t>具的認證書（中文版，</w:t>
      </w:r>
      <w:r>
        <w:rPr>
          <w:sz w:val="30"/>
          <w:szCs w:val="30"/>
          <w:spacing w:val="-16"/>
        </w:rPr>
        <w:t xml:space="preserve"> </w:t>
      </w:r>
      <w:r>
        <w:rPr>
          <w:sz w:val="30"/>
          <w:szCs w:val="30"/>
          <w:spacing w:val="8"/>
        </w:rPr>
        <w:t>須注明取得居留權的時間）。</w:t>
      </w:r>
    </w:p>
    <w:p>
      <w:pPr>
        <w:pStyle w:val="BodyText"/>
        <w:ind w:left="19" w:right="21" w:firstLine="645"/>
        <w:spacing w:before="113" w:line="261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考生因特殊情況不能到報名點現場確認報名的，須由本人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2"/>
        </w:rPr>
        <w:t>提交書面申請</w:t>
      </w:r>
      <w:r>
        <w:rPr>
          <w:sz w:val="30"/>
          <w:szCs w:val="30"/>
          <w:spacing w:val="-12"/>
        </w:rPr>
        <w:t xml:space="preserve"> </w:t>
      </w:r>
      <w:r>
        <w:rPr>
          <w:sz w:val="30"/>
          <w:szCs w:val="30"/>
          <w:spacing w:val="2"/>
        </w:rPr>
        <w:t>，經報名點同意後方可委託親屬代理確認</w:t>
      </w:r>
      <w:r>
        <w:rPr>
          <w:sz w:val="30"/>
          <w:szCs w:val="30"/>
          <w:spacing w:val="-20"/>
        </w:rPr>
        <w:t xml:space="preserve"> </w:t>
      </w:r>
      <w:r>
        <w:rPr>
          <w:sz w:val="30"/>
          <w:szCs w:val="30"/>
          <w:spacing w:val="2"/>
        </w:rPr>
        <w:t>，確認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時應出示考生身份證件、代理人身份證件、考生親筆簽署的委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託書及考生報名材料。每位代理人只能為一名考生辦理確認手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2"/>
        </w:rPr>
        <w:t>續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2"/>
        </w:rPr>
        <w:t>。</w:t>
      </w:r>
    </w:p>
    <w:p>
      <w:pPr>
        <w:pStyle w:val="BodyText"/>
        <w:ind w:left="659"/>
        <w:spacing w:before="106" w:line="185" w:lineRule="auto"/>
        <w:outlineLvl w:val="0"/>
        <w:rPr>
          <w:sz w:val="30"/>
          <w:szCs w:val="30"/>
        </w:rPr>
      </w:pPr>
      <w:r>
        <w:rPr>
          <w:sz w:val="30"/>
          <w:szCs w:val="30"/>
          <w:b/>
          <w:bCs/>
          <w:spacing w:val="10"/>
        </w:rPr>
        <w:t>（四）各考區報名確認負責機構及聯繫方式</w:t>
      </w:r>
    </w:p>
    <w:p>
      <w:pPr>
        <w:pStyle w:val="BodyText"/>
        <w:ind w:left="24" w:firstLine="656"/>
        <w:spacing w:before="264" w:line="258" w:lineRule="auto"/>
        <w:jc w:val="both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7"/>
        </w:rPr>
        <w:t>1.</w:t>
      </w:r>
      <w:r>
        <w:rPr>
          <w:sz w:val="30"/>
          <w:szCs w:val="30"/>
          <w:b/>
          <w:bCs/>
          <w:spacing w:val="7"/>
        </w:rPr>
        <w:t>北京：</w:t>
      </w:r>
      <w:r>
        <w:rPr>
          <w:sz w:val="30"/>
          <w:szCs w:val="30"/>
          <w:b/>
          <w:bCs/>
          <w:spacing w:val="-51"/>
        </w:rPr>
        <w:t xml:space="preserve"> </w:t>
      </w:r>
      <w:r>
        <w:rPr>
          <w:sz w:val="30"/>
          <w:szCs w:val="30"/>
          <w:spacing w:val="7"/>
        </w:rPr>
        <w:t>北京市高校招生辦公室（地址：北京</w:t>
      </w:r>
      <w:r>
        <w:rPr>
          <w:sz w:val="30"/>
          <w:szCs w:val="30"/>
          <w:spacing w:val="6"/>
        </w:rPr>
        <w:t>市海澱區志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5"/>
        </w:rPr>
        <w:t>新東路</w:t>
      </w:r>
      <w:r>
        <w:rPr>
          <w:sz w:val="30"/>
          <w:szCs w:val="30"/>
          <w:spacing w:val="48"/>
          <w:w w:val="10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9</w:t>
      </w:r>
      <w:r>
        <w:rPr>
          <w:rFonts w:ascii="FangSong" w:hAnsi="FangSong" w:eastAsia="FangSong" w:cs="FangSong"/>
          <w:sz w:val="30"/>
          <w:szCs w:val="30"/>
          <w:spacing w:val="-29"/>
        </w:rPr>
        <w:t xml:space="preserve"> </w:t>
      </w:r>
      <w:r>
        <w:rPr>
          <w:sz w:val="30"/>
          <w:szCs w:val="30"/>
          <w:spacing w:val="-5"/>
        </w:rPr>
        <w:t>號 ，郵遞區號 ：</w:t>
      </w:r>
      <w:r>
        <w:rPr>
          <w:rFonts w:ascii="FangSong" w:hAnsi="FangSong" w:eastAsia="FangSong" w:cs="FangSong"/>
          <w:sz w:val="30"/>
          <w:szCs w:val="30"/>
          <w:spacing w:val="-5"/>
        </w:rPr>
        <w:t>100083</w:t>
      </w:r>
      <w:r>
        <w:rPr>
          <w:rFonts w:ascii="FangSong" w:hAnsi="FangSong" w:eastAsia="FangSong" w:cs="FangSong"/>
          <w:sz w:val="30"/>
          <w:szCs w:val="30"/>
          <w:spacing w:val="-65"/>
        </w:rPr>
        <w:t xml:space="preserve"> </w:t>
      </w:r>
      <w:r>
        <w:rPr>
          <w:sz w:val="30"/>
          <w:szCs w:val="30"/>
          <w:spacing w:val="-5"/>
        </w:rPr>
        <w:t>，電話</w:t>
      </w:r>
      <w:r>
        <w:rPr>
          <w:sz w:val="30"/>
          <w:szCs w:val="30"/>
          <w:spacing w:val="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010-8</w:t>
      </w:r>
      <w:r>
        <w:rPr>
          <w:rFonts w:ascii="FangSong" w:hAnsi="FangSong" w:eastAsia="FangSong" w:cs="FangSong"/>
          <w:sz w:val="30"/>
          <w:szCs w:val="30"/>
          <w:spacing w:val="-6"/>
        </w:rPr>
        <w:t>9193989</w:t>
      </w:r>
      <w:r>
        <w:rPr>
          <w:rFonts w:ascii="FangSong" w:hAnsi="FangSong" w:eastAsia="FangSong" w:cs="FangSong"/>
          <w:sz w:val="30"/>
          <w:szCs w:val="30"/>
          <w:spacing w:val="-33"/>
        </w:rPr>
        <w:t xml:space="preserve"> </w:t>
      </w:r>
      <w:r>
        <w:rPr>
          <w:sz w:val="30"/>
          <w:szCs w:val="30"/>
          <w:spacing w:val="-6"/>
        </w:rPr>
        <w:t>轉</w:t>
      </w:r>
      <w:r>
        <w:rPr>
          <w:sz w:val="30"/>
          <w:szCs w:val="30"/>
          <w:spacing w:val="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6"/>
        </w:rPr>
        <w:t>1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sz w:val="30"/>
          <w:szCs w:val="30"/>
          <w:spacing w:val="-6"/>
        </w:rPr>
        <w:t>，</w:t>
      </w:r>
      <w:r>
        <w:rPr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010-82837212</w:t>
      </w:r>
      <w:r>
        <w:rPr>
          <w:sz w:val="30"/>
          <w:szCs w:val="30"/>
          <w:spacing w:val="7"/>
        </w:rPr>
        <w:t>）。</w:t>
      </w:r>
    </w:p>
    <w:p>
      <w:pPr>
        <w:pStyle w:val="BodyText"/>
        <w:ind w:right="19"/>
        <w:spacing w:before="116" w:line="185" w:lineRule="auto"/>
        <w:jc w:val="right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7"/>
        </w:rPr>
        <w:t>2.</w:t>
      </w:r>
      <w:r>
        <w:rPr>
          <w:sz w:val="30"/>
          <w:szCs w:val="30"/>
          <w:b/>
          <w:bCs/>
          <w:spacing w:val="7"/>
        </w:rPr>
        <w:t>上海：</w:t>
      </w:r>
      <w:r>
        <w:rPr>
          <w:sz w:val="30"/>
          <w:szCs w:val="30"/>
          <w:b/>
          <w:bCs/>
          <w:spacing w:val="-43"/>
        </w:rPr>
        <w:t xml:space="preserve"> </w:t>
      </w:r>
      <w:r>
        <w:rPr>
          <w:sz w:val="30"/>
          <w:szCs w:val="30"/>
          <w:spacing w:val="7"/>
        </w:rPr>
        <w:t>上海市教育考試院（地址：上海市楊浦區民星路</w:t>
      </w:r>
    </w:p>
    <w:p>
      <w:pPr>
        <w:pStyle w:val="BodyText"/>
        <w:ind w:left="19"/>
        <w:spacing w:before="165" w:line="185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>465 </w:t>
      </w:r>
      <w:r>
        <w:rPr>
          <w:sz w:val="30"/>
          <w:szCs w:val="30"/>
        </w:rPr>
        <w:t>號 ，郵遞區號 ：</w:t>
      </w:r>
      <w:r>
        <w:rPr>
          <w:rFonts w:ascii="Times New Roman" w:hAnsi="Times New Roman" w:eastAsia="Times New Roman" w:cs="Times New Roman"/>
          <w:sz w:val="30"/>
          <w:szCs w:val="30"/>
        </w:rPr>
        <w:t>200433 </w:t>
      </w:r>
      <w:r>
        <w:rPr>
          <w:sz w:val="30"/>
          <w:szCs w:val="30"/>
        </w:rPr>
        <w:t>，電話 </w:t>
      </w:r>
      <w:r>
        <w:rPr>
          <w:rFonts w:ascii="Times New Roman" w:hAnsi="Times New Roman" w:eastAsia="Times New Roman" w:cs="Times New Roman"/>
          <w:sz w:val="30"/>
          <w:szCs w:val="30"/>
        </w:rPr>
        <w:t>02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1-35367070</w:t>
      </w:r>
      <w:r>
        <w:rPr>
          <w:sz w:val="30"/>
          <w:szCs w:val="30"/>
          <w:spacing w:val="-1"/>
        </w:rPr>
        <w:t>）。</w:t>
      </w:r>
    </w:p>
    <w:p>
      <w:pPr>
        <w:spacing w:line="185" w:lineRule="auto"/>
        <w:sectPr>
          <w:footerReference w:type="default" r:id="rId5"/>
          <w:pgSz w:w="11907" w:h="16839"/>
          <w:pgMar w:top="1271" w:right="1778" w:bottom="1775" w:left="1785" w:header="0" w:footer="1527" w:gutter="0"/>
        </w:sectPr>
        <w:rPr>
          <w:sz w:val="30"/>
          <w:szCs w:val="30"/>
        </w:rPr>
      </w:pPr>
    </w:p>
    <w:p>
      <w:pPr>
        <w:pStyle w:val="BodyText"/>
        <w:ind w:left="24" w:right="68" w:firstLine="640"/>
        <w:spacing w:before="62" w:line="258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8"/>
        </w:rPr>
        <w:t>3.</w:t>
      </w:r>
      <w:r>
        <w:rPr>
          <w:sz w:val="30"/>
          <w:szCs w:val="30"/>
          <w:b/>
          <w:bCs/>
          <w:spacing w:val="-8"/>
        </w:rPr>
        <w:t>福州：</w:t>
      </w:r>
      <w:r>
        <w:rPr>
          <w:sz w:val="30"/>
          <w:szCs w:val="30"/>
          <w:spacing w:val="-8"/>
        </w:rPr>
        <w:t>福建省教育考試院（地址：福州市北環中路 </w:t>
      </w:r>
      <w:r>
        <w:rPr>
          <w:rFonts w:ascii="FangSong" w:hAnsi="FangSong" w:eastAsia="FangSong" w:cs="FangSong"/>
          <w:sz w:val="30"/>
          <w:szCs w:val="30"/>
          <w:spacing w:val="-8"/>
        </w:rPr>
        <w:t>59</w:t>
      </w:r>
      <w:r>
        <w:rPr>
          <w:rFonts w:ascii="FangSong" w:hAnsi="FangSong" w:eastAsia="FangSong" w:cs="FangSong"/>
          <w:sz w:val="30"/>
          <w:szCs w:val="30"/>
          <w:spacing w:val="-54"/>
        </w:rPr>
        <w:t xml:space="preserve"> </w:t>
      </w:r>
      <w:r>
        <w:rPr>
          <w:sz w:val="30"/>
          <w:szCs w:val="30"/>
          <w:spacing w:val="-8"/>
        </w:rPr>
        <w:t>號，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"/>
        </w:rPr>
        <w:t>郵遞區號</w:t>
      </w:r>
      <w:r>
        <w:rPr>
          <w:sz w:val="30"/>
          <w:szCs w:val="30"/>
          <w:spacing w:val="-15"/>
        </w:rPr>
        <w:t xml:space="preserve"> </w:t>
      </w:r>
      <w:r>
        <w:rPr>
          <w:sz w:val="30"/>
          <w:szCs w:val="30"/>
          <w:spacing w:val="2"/>
        </w:rPr>
        <w:t>：</w:t>
      </w:r>
      <w:r>
        <w:rPr>
          <w:rFonts w:ascii="FangSong" w:hAnsi="FangSong" w:eastAsia="FangSong" w:cs="FangSong"/>
          <w:sz w:val="30"/>
          <w:szCs w:val="30"/>
          <w:spacing w:val="2"/>
        </w:rPr>
        <w:t>350003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sz w:val="30"/>
          <w:szCs w:val="30"/>
          <w:spacing w:val="2"/>
        </w:rPr>
        <w:t>，聯繫電話 </w:t>
      </w:r>
      <w:r>
        <w:rPr>
          <w:rFonts w:ascii="FangSong" w:hAnsi="FangSong" w:eastAsia="FangSong" w:cs="FangSong"/>
          <w:sz w:val="30"/>
          <w:szCs w:val="30"/>
          <w:spacing w:val="2"/>
        </w:rPr>
        <w:t>0591-86215678</w:t>
      </w:r>
      <w:r>
        <w:rPr>
          <w:sz w:val="30"/>
          <w:szCs w:val="30"/>
          <w:spacing w:val="2"/>
        </w:rPr>
        <w:t>）。</w:t>
      </w:r>
    </w:p>
    <w:p>
      <w:pPr>
        <w:pStyle w:val="BodyText"/>
        <w:ind w:left="24" w:right="58" w:firstLine="643"/>
        <w:spacing w:before="114" w:line="257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1"/>
        </w:rPr>
        <w:t>4.</w:t>
      </w:r>
      <w:r>
        <w:rPr>
          <w:sz w:val="30"/>
          <w:szCs w:val="30"/>
          <w:b/>
          <w:bCs/>
          <w:spacing w:val="11"/>
        </w:rPr>
        <w:t>廣州：</w:t>
      </w:r>
      <w:r>
        <w:rPr>
          <w:sz w:val="30"/>
          <w:szCs w:val="30"/>
          <w:spacing w:val="11"/>
        </w:rPr>
        <w:t>暨南大學（石牌校區</w:t>
      </w:r>
      <w:r>
        <w:rPr>
          <w:sz w:val="30"/>
          <w:szCs w:val="30"/>
          <w:spacing w:val="-19"/>
        </w:rPr>
        <w:t>）（</w:t>
      </w:r>
      <w:r>
        <w:rPr>
          <w:sz w:val="30"/>
          <w:szCs w:val="30"/>
          <w:spacing w:val="11"/>
        </w:rPr>
        <w:t>地址：廣州市天河區黃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"/>
        </w:rPr>
        <w:t>埔大道西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601 </w:t>
      </w:r>
      <w:r>
        <w:rPr>
          <w:sz w:val="30"/>
          <w:szCs w:val="30"/>
          <w:spacing w:val="-1"/>
        </w:rPr>
        <w:t>號 ，郵遞區號</w:t>
      </w:r>
      <w:r>
        <w:rPr>
          <w:sz w:val="30"/>
          <w:szCs w:val="30"/>
          <w:spacing w:val="-24"/>
        </w:rPr>
        <w:t xml:space="preserve"> </w:t>
      </w:r>
      <w:r>
        <w:rPr>
          <w:sz w:val="30"/>
          <w:szCs w:val="30"/>
          <w:spacing w:val="-1"/>
        </w:rPr>
        <w:t>：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510632 </w:t>
      </w:r>
      <w:r>
        <w:rPr>
          <w:sz w:val="30"/>
          <w:szCs w:val="30"/>
          <w:spacing w:val="-1"/>
        </w:rPr>
        <w:t>，電話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020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-85220130</w:t>
      </w:r>
      <w:r>
        <w:rPr>
          <w:sz w:val="30"/>
          <w:szCs w:val="30"/>
          <w:spacing w:val="-2"/>
        </w:rPr>
        <w:t>）。</w:t>
      </w:r>
    </w:p>
    <w:p>
      <w:pPr>
        <w:pStyle w:val="BodyText"/>
        <w:ind w:left="19" w:right="90" w:firstLine="651"/>
        <w:spacing w:before="116" w:line="257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7"/>
        </w:rPr>
        <w:t>5.</w:t>
      </w:r>
      <w:r>
        <w:rPr>
          <w:sz w:val="30"/>
          <w:szCs w:val="30"/>
          <w:b/>
          <w:bCs/>
          <w:spacing w:val="7"/>
        </w:rPr>
        <w:t>香港：</w:t>
      </w:r>
      <w:r>
        <w:rPr>
          <w:sz w:val="30"/>
          <w:szCs w:val="30"/>
          <w:b/>
          <w:bCs/>
          <w:spacing w:val="-46"/>
        </w:rPr>
        <w:t xml:space="preserve"> </w:t>
      </w:r>
      <w:r>
        <w:rPr>
          <w:sz w:val="30"/>
          <w:szCs w:val="30"/>
          <w:spacing w:val="7"/>
        </w:rPr>
        <w:t>香港考試及評核局（地址：香港九龍新蒲崗爵祿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"/>
        </w:rPr>
        <w:t>街</w:t>
      </w:r>
      <w:r>
        <w:rPr>
          <w:sz w:val="30"/>
          <w:szCs w:val="30"/>
          <w:spacing w:val="3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17 </w:t>
      </w:r>
      <w:r>
        <w:rPr>
          <w:sz w:val="30"/>
          <w:szCs w:val="30"/>
          <w:spacing w:val="1"/>
        </w:rPr>
        <w:t>號 ，電話 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00852-36288787</w:t>
      </w:r>
      <w:r>
        <w:rPr>
          <w:sz w:val="30"/>
          <w:szCs w:val="30"/>
          <w:spacing w:val="1"/>
        </w:rPr>
        <w:t>）。</w:t>
      </w:r>
    </w:p>
    <w:p>
      <w:pPr>
        <w:pStyle w:val="BodyText"/>
        <w:ind w:left="24" w:firstLine="647"/>
        <w:spacing w:before="117" w:line="258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8"/>
        </w:rPr>
        <w:t>6.</w:t>
      </w:r>
      <w:r>
        <w:rPr>
          <w:sz w:val="30"/>
          <w:szCs w:val="30"/>
          <w:b/>
          <w:bCs/>
          <w:spacing w:val="8"/>
        </w:rPr>
        <w:t>澳門 ：</w:t>
      </w:r>
      <w:r>
        <w:rPr>
          <w:sz w:val="30"/>
          <w:szCs w:val="30"/>
          <w:spacing w:val="8"/>
        </w:rPr>
        <w:t>澳門特別行政區政府教育及青年發展局（地址：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5"/>
        </w:rPr>
        <w:t>澳門約翰四世大馬路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7—9 </w:t>
      </w:r>
      <w:r>
        <w:rPr>
          <w:sz w:val="30"/>
          <w:szCs w:val="30"/>
          <w:spacing w:val="5"/>
        </w:rPr>
        <w:t>號一樓 ，電</w:t>
      </w:r>
      <w:r>
        <w:rPr>
          <w:sz w:val="30"/>
          <w:szCs w:val="30"/>
          <w:spacing w:val="4"/>
        </w:rPr>
        <w:t>話 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>00853-28555533</w:t>
      </w:r>
      <w:r>
        <w:rPr>
          <w:sz w:val="30"/>
          <w:szCs w:val="30"/>
          <w:spacing w:val="4"/>
        </w:rPr>
        <w:t>）。</w:t>
      </w:r>
    </w:p>
    <w:p>
      <w:pPr>
        <w:ind w:left="677"/>
        <w:spacing w:before="98" w:line="225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7"/>
        </w:rPr>
        <w:t>二、報名資格審核</w:t>
      </w:r>
    </w:p>
    <w:p>
      <w:pPr>
        <w:pStyle w:val="BodyText"/>
        <w:ind w:left="19" w:right="90" w:firstLine="640"/>
        <w:spacing w:before="309" w:line="244" w:lineRule="auto"/>
        <w:rPr>
          <w:sz w:val="31"/>
          <w:szCs w:val="31"/>
        </w:rPr>
      </w:pPr>
      <w:r>
        <w:rPr>
          <w:sz w:val="30"/>
          <w:szCs w:val="30"/>
          <w:spacing w:val="6"/>
        </w:rPr>
        <w:t>（一）報名結束後，普通高校聯合招收華僑港澳臺學生辦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7"/>
        </w:rPr>
        <w:t>公室（以下簡稱聯招辦）組織協調有關部門對考生報名資格進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行審核，包括身份審核、學歷審核及華僑考生的出入境記錄審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6"/>
        </w:rPr>
        <w:t>核。</w:t>
      </w:r>
      <w:r>
        <w:rPr>
          <w:sz w:val="31"/>
          <w:szCs w:val="31"/>
          <w:b/>
          <w:bCs/>
          <w:spacing w:val="6"/>
        </w:rPr>
        <w:t>持內地（祖國大陸）學歷的考生資訊 ，由考生畢業中學</w:t>
      </w:r>
      <w:r>
        <w:rPr>
          <w:sz w:val="31"/>
          <w:szCs w:val="31"/>
          <w:b/>
          <w:bCs/>
          <w:spacing w:val="5"/>
        </w:rPr>
        <w:t xml:space="preserve"> </w:t>
      </w:r>
      <w:r>
        <w:rPr>
          <w:sz w:val="31"/>
          <w:szCs w:val="31"/>
          <w:b/>
          <w:bCs/>
          <w:spacing w:val="9"/>
        </w:rPr>
        <w:t>所在地省級教育主管部門進行學歷查驗 。</w:t>
      </w:r>
    </w:p>
    <w:p>
      <w:pPr>
        <w:pStyle w:val="BodyText"/>
        <w:ind w:left="19" w:right="63" w:firstLine="640"/>
        <w:spacing w:before="247" w:line="247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（二）聯招辦對考生報名資格審核後，在網站公示審核通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3"/>
        </w:rPr>
        <w:t>過的考生名單，公示資訊包括考生的姓名、性別、資格類別等。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7"/>
        </w:rPr>
        <w:t>通過報名資格審核並經公示的考生方可參加聯招考試。公示後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被舉報查實資格造假的考生不得參加考試和錄取，已參加考試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6"/>
        </w:rPr>
        <w:t>的取消考試成績 ，已錄取的取消錄取資格。</w:t>
      </w:r>
    </w:p>
    <w:p>
      <w:pPr>
        <w:ind w:left="678"/>
        <w:spacing w:before="237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5"/>
        </w:rPr>
        <w:t>三、考試</w:t>
      </w:r>
    </w:p>
    <w:p>
      <w:pPr>
        <w:pStyle w:val="BodyText"/>
        <w:ind w:left="659"/>
        <w:spacing w:before="311" w:line="185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（一）考試科目</w:t>
      </w:r>
    </w:p>
    <w:p>
      <w:pPr>
        <w:spacing w:line="185" w:lineRule="auto"/>
        <w:sectPr>
          <w:footerReference w:type="default" r:id="rId6"/>
          <w:pgSz w:w="11907" w:h="16839"/>
          <w:pgMar w:top="1271" w:right="1707" w:bottom="1775" w:left="1785" w:header="0" w:footer="1527" w:gutter="0"/>
        </w:sectPr>
        <w:rPr>
          <w:sz w:val="30"/>
          <w:szCs w:val="30"/>
        </w:rPr>
      </w:pPr>
    </w:p>
    <w:p>
      <w:pPr>
        <w:pStyle w:val="BodyText"/>
        <w:ind w:left="19" w:right="101" w:firstLine="645"/>
        <w:spacing w:before="63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-1"/>
        </w:rPr>
        <w:t>理工類考試科目為中文、數學 、英語、物理、化學 ；文史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-2"/>
        </w:rPr>
        <w:t>類考試科目為中文、數學、英語、歷史、地理。每科滿分</w:t>
      </w:r>
      <w:r>
        <w:rPr>
          <w:sz w:val="30"/>
          <w:szCs w:val="30"/>
          <w:spacing w:val="-3"/>
        </w:rPr>
        <w:t>為</w:t>
      </w:r>
      <w:r>
        <w:rPr>
          <w:sz w:val="30"/>
          <w:szCs w:val="30"/>
          <w:spacing w:val="2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3"/>
        </w:rPr>
        <w:t>150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z w:val="30"/>
          <w:szCs w:val="30"/>
          <w:spacing w:val="8"/>
        </w:rPr>
        <w:t>分，每個考試類別滿分為 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750 </w:t>
      </w:r>
      <w:r>
        <w:rPr>
          <w:sz w:val="30"/>
          <w:szCs w:val="30"/>
          <w:spacing w:val="8"/>
        </w:rPr>
        <w:t>分。</w:t>
      </w:r>
    </w:p>
    <w:p>
      <w:pPr>
        <w:pStyle w:val="BodyText"/>
        <w:ind w:left="19" w:firstLine="645"/>
        <w:spacing w:before="104" w:line="259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考試內容和要求參見教育部考試中心制定的《中華人民共</w:t>
      </w:r>
      <w:r>
        <w:rPr>
          <w:sz w:val="30"/>
          <w:szCs w:val="30"/>
          <w:spacing w:val="2"/>
        </w:rPr>
        <w:t xml:space="preserve">  </w:t>
      </w:r>
      <w:r>
        <w:rPr>
          <w:sz w:val="30"/>
          <w:szCs w:val="30"/>
          <w:spacing w:val="11"/>
        </w:rPr>
        <w:t>和國普通高等學校聯合招收華僑港澳臺學生入學考試（理科、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9"/>
        </w:rPr>
        <w:t>文科）考試大綱（第 </w:t>
      </w:r>
      <w:r>
        <w:rPr>
          <w:rFonts w:ascii="Times New Roman" w:hAnsi="Times New Roman" w:eastAsia="Times New Roman" w:cs="Times New Roman"/>
          <w:sz w:val="30"/>
          <w:szCs w:val="30"/>
          <w:spacing w:val="9"/>
        </w:rPr>
        <w:t>3 </w:t>
      </w:r>
      <w:r>
        <w:rPr>
          <w:sz w:val="30"/>
          <w:szCs w:val="30"/>
          <w:spacing w:val="9"/>
        </w:rPr>
        <w:t>版）》。</w:t>
      </w:r>
    </w:p>
    <w:p>
      <w:pPr>
        <w:pStyle w:val="BodyText"/>
        <w:ind w:left="659"/>
        <w:spacing w:before="116" w:line="185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（二）考試時間</w:t>
      </w:r>
    </w:p>
    <w:p>
      <w:pPr>
        <w:spacing w:line="202" w:lineRule="exact"/>
        <w:rPr/>
      </w:pPr>
      <w:r/>
    </w:p>
    <w:tbl>
      <w:tblPr>
        <w:tblStyle w:val="TableNormal"/>
        <w:tblW w:w="5986" w:type="dxa"/>
        <w:tblInd w:w="117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650"/>
        <w:gridCol w:w="4336"/>
      </w:tblGrid>
      <w:tr>
        <w:trPr>
          <w:trHeight w:val="560" w:hRule="atLeast"/>
        </w:trPr>
        <w:tc>
          <w:tcPr>
            <w:tcW w:w="16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6" w:right="226" w:hanging="15"/>
              <w:spacing w:before="110" w:line="251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23"/>
              </w:rPr>
              <w:t>5</w:t>
            </w:r>
            <w:r>
              <w:rPr>
                <w:spacing w:val="-4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>月</w:t>
            </w:r>
            <w:r>
              <w:rPr>
                <w:rFonts w:ascii="Microsoft YaHei" w:hAnsi="Microsoft YaHei" w:eastAsia="Microsoft YaHei" w:cs="Microsoft YaHei"/>
                <w:spacing w:val="18"/>
              </w:rPr>
              <w:t xml:space="preserve"> </w:t>
            </w:r>
            <w:r>
              <w:rPr>
                <w:spacing w:val="-23"/>
              </w:rPr>
              <w:t>18 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>日</w:t>
            </w:r>
            <w:r>
              <w:rPr>
                <w:rFonts w:ascii="Microsoft YaHei" w:hAnsi="Microsoft YaHei" w:eastAsia="Microsoft YaHei" w:cs="Microsoft YaHei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"/>
              </w:rPr>
              <w:t>（週六）</w:t>
            </w:r>
          </w:p>
        </w:tc>
        <w:tc>
          <w:tcPr>
            <w:tcW w:w="4336" w:type="dxa"/>
            <w:vAlign w:val="top"/>
          </w:tcPr>
          <w:p>
            <w:pPr>
              <w:pStyle w:val="TableText"/>
              <w:ind w:left="1023"/>
              <w:spacing w:before="110" w:line="186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3"/>
              </w:rPr>
              <w:t>09:00—11:30</w:t>
            </w:r>
            <w:r>
              <w:rPr>
                <w:spacing w:val="-25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3"/>
                <w:position w:val="1"/>
              </w:rPr>
              <w:t>中文</w:t>
            </w:r>
          </w:p>
        </w:tc>
      </w:tr>
      <w:tr>
        <w:trPr>
          <w:trHeight w:val="560" w:hRule="atLeast"/>
        </w:trPr>
        <w:tc>
          <w:tcPr>
            <w:tcW w:w="16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36" w:type="dxa"/>
            <w:vAlign w:val="top"/>
          </w:tcPr>
          <w:p>
            <w:pPr>
              <w:pStyle w:val="TableText"/>
              <w:ind w:left="1041"/>
              <w:spacing w:before="110" w:line="185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3"/>
              </w:rPr>
              <w:t>13:30—15:30</w:t>
            </w:r>
            <w:r>
              <w:rPr>
                <w:spacing w:val="-5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3"/>
              </w:rPr>
              <w:t>英語</w:t>
            </w:r>
          </w:p>
        </w:tc>
      </w:tr>
      <w:tr>
        <w:trPr>
          <w:trHeight w:val="558" w:hRule="atLeast"/>
        </w:trPr>
        <w:tc>
          <w:tcPr>
            <w:tcW w:w="16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6" w:right="226" w:hanging="15"/>
              <w:spacing w:before="111" w:line="276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23"/>
              </w:rPr>
              <w:t>5</w:t>
            </w:r>
            <w:r>
              <w:rPr>
                <w:spacing w:val="-4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>月</w:t>
            </w:r>
            <w:r>
              <w:rPr>
                <w:rFonts w:ascii="Microsoft YaHei" w:hAnsi="Microsoft YaHei" w:eastAsia="Microsoft YaHei" w:cs="Microsoft YaHei"/>
                <w:spacing w:val="18"/>
              </w:rPr>
              <w:t xml:space="preserve"> </w:t>
            </w:r>
            <w:r>
              <w:rPr>
                <w:spacing w:val="-23"/>
              </w:rPr>
              <w:t>19 </w:t>
            </w:r>
            <w:r>
              <w:rPr>
                <w:rFonts w:ascii="Microsoft YaHei" w:hAnsi="Microsoft YaHei" w:eastAsia="Microsoft YaHei" w:cs="Microsoft YaHei"/>
                <w:spacing w:val="-23"/>
              </w:rPr>
              <w:t>日</w:t>
            </w:r>
            <w:r>
              <w:rPr>
                <w:rFonts w:ascii="Microsoft YaHei" w:hAnsi="Microsoft YaHei" w:eastAsia="Microsoft YaHei" w:cs="Microsoft YaHei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1"/>
              </w:rPr>
              <w:t>（周日）</w:t>
            </w:r>
          </w:p>
        </w:tc>
        <w:tc>
          <w:tcPr>
            <w:tcW w:w="4336" w:type="dxa"/>
            <w:vAlign w:val="top"/>
          </w:tcPr>
          <w:p>
            <w:pPr>
              <w:pStyle w:val="TableText"/>
              <w:ind w:left="1023"/>
              <w:spacing w:before="110" w:line="185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2"/>
              </w:rPr>
              <w:t>09:00—11:00</w:t>
            </w:r>
            <w:r>
              <w:rPr>
                <w:spacing w:val="-5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數學</w:t>
            </w:r>
          </w:p>
        </w:tc>
      </w:tr>
      <w:tr>
        <w:trPr>
          <w:trHeight w:val="558" w:hRule="atLeast"/>
        </w:trPr>
        <w:tc>
          <w:tcPr>
            <w:tcW w:w="165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36" w:type="dxa"/>
            <w:vAlign w:val="top"/>
          </w:tcPr>
          <w:p>
            <w:pPr>
              <w:pStyle w:val="TableText"/>
              <w:ind w:left="621"/>
              <w:spacing w:before="111" w:line="186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3"/>
              </w:rPr>
              <w:t>13:00—15:00</w:t>
            </w:r>
            <w:r>
              <w:rPr>
                <w:spacing w:val="-57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3"/>
              </w:rPr>
              <w:t>物理、歷史</w:t>
            </w:r>
          </w:p>
        </w:tc>
      </w:tr>
      <w:tr>
        <w:trPr>
          <w:trHeight w:val="563" w:hRule="atLeast"/>
        </w:trPr>
        <w:tc>
          <w:tcPr>
            <w:tcW w:w="16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36" w:type="dxa"/>
            <w:vAlign w:val="top"/>
          </w:tcPr>
          <w:p>
            <w:pPr>
              <w:pStyle w:val="TableText"/>
              <w:ind w:left="621"/>
              <w:spacing w:before="113" w:line="187" w:lineRule="auto"/>
              <w:rPr>
                <w:rFonts w:ascii="Microsoft YaHei" w:hAnsi="Microsoft YaHei" w:eastAsia="Microsoft YaHei" w:cs="Microsoft YaHei"/>
              </w:rPr>
            </w:pPr>
            <w:r>
              <w:rPr>
                <w:spacing w:val="-3"/>
              </w:rPr>
              <w:t>16:00—18:00</w:t>
            </w:r>
            <w:r>
              <w:rPr>
                <w:spacing w:val="-54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pacing w:val="-3"/>
              </w:rPr>
              <w:t>化學、地理</w:t>
            </w:r>
          </w:p>
        </w:tc>
      </w:tr>
    </w:tbl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left="659"/>
        <w:spacing w:before="128" w:line="185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（三）考試地點</w:t>
      </w:r>
    </w:p>
    <w:p>
      <w:pPr>
        <w:pStyle w:val="BodyText"/>
        <w:ind w:left="24" w:right="100" w:firstLine="640"/>
        <w:spacing w:before="265" w:line="260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全國聯招分北京、上海、福州、廣州、香港和澳門六個考 </w:t>
      </w:r>
      <w:r>
        <w:rPr>
          <w:sz w:val="30"/>
          <w:szCs w:val="30"/>
          <w:spacing w:val="6"/>
        </w:rPr>
        <w:t>區 ，考生在網上報名時選定考試地點後不得再修改。</w:t>
      </w:r>
    </w:p>
    <w:p>
      <w:pPr>
        <w:pStyle w:val="BodyText"/>
        <w:ind w:left="659"/>
        <w:spacing w:before="105" w:line="185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（四）答題方式</w:t>
      </w:r>
    </w:p>
    <w:p>
      <w:pPr>
        <w:pStyle w:val="BodyText"/>
        <w:ind w:left="19" w:right="102" w:firstLine="645"/>
        <w:spacing w:before="263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全國聯招考試實行電腦網上輔助閱卷。考生在考試時必須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7"/>
        </w:rPr>
        <w:t>按規定在專用答題卡的指定區域內答題，在指定區域外答題不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15"/>
        </w:rPr>
        <w:t>予計分。</w:t>
      </w:r>
    </w:p>
    <w:p>
      <w:pPr>
        <w:pStyle w:val="BodyText"/>
        <w:ind w:left="659"/>
        <w:spacing w:before="106" w:line="185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（五）其他事項</w:t>
      </w:r>
    </w:p>
    <w:p>
      <w:pPr>
        <w:spacing w:line="185" w:lineRule="auto"/>
        <w:sectPr>
          <w:footerReference w:type="default" r:id="rId7"/>
          <w:pgSz w:w="11907" w:h="16839"/>
          <w:pgMar w:top="1271" w:right="1697" w:bottom="1775" w:left="1785" w:header="0" w:footer="1525" w:gutter="0"/>
        </w:sectPr>
        <w:rPr>
          <w:sz w:val="30"/>
          <w:szCs w:val="30"/>
        </w:rPr>
      </w:pPr>
    </w:p>
    <w:p>
      <w:pPr>
        <w:pStyle w:val="BodyText"/>
        <w:ind w:left="19" w:right="12" w:firstLine="677"/>
        <w:spacing w:before="60" w:line="259" w:lineRule="auto"/>
        <w:jc w:val="both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4"/>
        </w:rPr>
        <w:t>1.</w:t>
      </w:r>
      <w:r>
        <w:rPr>
          <w:sz w:val="30"/>
          <w:szCs w:val="30"/>
          <w:spacing w:val="4"/>
        </w:rPr>
        <w:t>全國聯招不組織體育類 、藝術類統考。廣州大學將面向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7"/>
        </w:rPr>
        <w:t>聯考考生組織播音與主持藝術專業（含粵語）術科校考（另行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15"/>
        </w:rPr>
        <w:t>通知）。</w:t>
      </w:r>
    </w:p>
    <w:p>
      <w:pPr>
        <w:pStyle w:val="BodyText"/>
        <w:ind w:left="666"/>
        <w:spacing w:before="115" w:line="190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0"/>
        </w:rPr>
        <w:t>2.</w:t>
      </w:r>
      <w:r>
        <w:rPr>
          <w:sz w:val="30"/>
          <w:szCs w:val="30"/>
          <w:spacing w:val="10"/>
        </w:rPr>
        <w:t>准考證約考前五天起可在報名系統下載列印。</w:t>
      </w:r>
    </w:p>
    <w:p>
      <w:pPr>
        <w:ind w:left="690"/>
        <w:spacing w:before="235" w:line="224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4"/>
        </w:rPr>
        <w:t>四、志願填報</w:t>
      </w:r>
    </w:p>
    <w:p>
      <w:pPr>
        <w:pStyle w:val="BodyText"/>
        <w:spacing w:before="313" w:line="185" w:lineRule="auto"/>
        <w:jc w:val="right"/>
        <w:rPr>
          <w:sz w:val="30"/>
          <w:szCs w:val="30"/>
        </w:rPr>
      </w:pPr>
      <w:r>
        <w:rPr>
          <w:sz w:val="30"/>
          <w:szCs w:val="30"/>
          <w:spacing w:val="1"/>
        </w:rPr>
        <w:t>（一）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6</w:t>
      </w:r>
      <w:r>
        <w:rPr>
          <w:rFonts w:ascii="Times New Roman" w:hAnsi="Times New Roman" w:eastAsia="Times New Roman" w:cs="Times New Roman"/>
          <w:sz w:val="30"/>
          <w:szCs w:val="30"/>
          <w:spacing w:val="41"/>
        </w:rPr>
        <w:t xml:space="preserve"> </w:t>
      </w:r>
      <w:r>
        <w:rPr>
          <w:sz w:val="30"/>
          <w:szCs w:val="30"/>
          <w:spacing w:val="1"/>
        </w:rPr>
        <w:t>月中旬公佈考試成績 ，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6</w:t>
      </w:r>
      <w:r>
        <w:rPr>
          <w:rFonts w:ascii="Times New Roman" w:hAnsi="Times New Roman" w:eastAsia="Times New Roman" w:cs="Times New Roman"/>
          <w:sz w:val="30"/>
          <w:szCs w:val="30"/>
          <w:spacing w:val="27"/>
          <w:w w:val="101"/>
        </w:rPr>
        <w:t xml:space="preserve"> </w:t>
      </w:r>
      <w:r>
        <w:rPr>
          <w:sz w:val="30"/>
          <w:szCs w:val="30"/>
          <w:spacing w:val="1"/>
        </w:rPr>
        <w:t>月下旬網上填報志願 。</w:t>
      </w:r>
    </w:p>
    <w:p>
      <w:pPr>
        <w:pStyle w:val="BodyText"/>
        <w:ind w:left="19" w:right="9" w:firstLine="640"/>
        <w:spacing w:before="266" w:line="237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（二）填報志願前，考生在報名系統首頁認真閱讀招生專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5"/>
        </w:rPr>
        <w:t>業目錄 ，瞭解高校基本情況 、招生專業 、收費標準 、身體健康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6"/>
        </w:rPr>
        <w:t>狀況要求、</w:t>
      </w:r>
      <w:r>
        <w:rPr>
          <w:sz w:val="30"/>
          <w:szCs w:val="30"/>
          <w:spacing w:val="-35"/>
        </w:rPr>
        <w:t xml:space="preserve"> </w:t>
      </w:r>
      <w:r>
        <w:rPr>
          <w:sz w:val="30"/>
          <w:szCs w:val="30"/>
          <w:spacing w:val="6"/>
        </w:rPr>
        <w:t>錄取原則及其他注意事項 。</w:t>
      </w:r>
    </w:p>
    <w:p>
      <w:pPr>
        <w:pStyle w:val="BodyText"/>
        <w:ind w:left="19" w:right="12" w:firstLine="640"/>
        <w:spacing w:before="253" w:line="237" w:lineRule="auto"/>
        <w:rPr>
          <w:sz w:val="30"/>
          <w:szCs w:val="30"/>
        </w:rPr>
      </w:pPr>
      <w:r>
        <w:rPr>
          <w:sz w:val="30"/>
          <w:szCs w:val="30"/>
          <w:spacing w:val="8"/>
        </w:rPr>
        <w:t>（三）志願填報採取平行志願方式。考生可填報</w:t>
      </w:r>
      <w:r>
        <w:rPr>
          <w:sz w:val="30"/>
          <w:szCs w:val="30"/>
          <w:spacing w:val="5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10</w:t>
      </w:r>
      <w:r>
        <w:rPr>
          <w:rFonts w:ascii="Times New Roman" w:hAnsi="Times New Roman" w:eastAsia="Times New Roman" w:cs="Times New Roman"/>
          <w:sz w:val="30"/>
          <w:szCs w:val="30"/>
          <w:spacing w:val="41"/>
          <w:w w:val="101"/>
        </w:rPr>
        <w:t xml:space="preserve"> </w:t>
      </w:r>
      <w:r>
        <w:rPr>
          <w:sz w:val="30"/>
          <w:szCs w:val="30"/>
          <w:spacing w:val="7"/>
        </w:rPr>
        <w:t>所高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6"/>
        </w:rPr>
        <w:t>校本科志願，每所高校可填報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6 </w:t>
      </w:r>
      <w:r>
        <w:rPr>
          <w:sz w:val="30"/>
          <w:szCs w:val="30"/>
          <w:spacing w:val="6"/>
        </w:rPr>
        <w:t>個專業志願和一個專業是否服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5"/>
        </w:rPr>
        <w:t>從調劑選項 ；報考預科的考生可填報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5 </w:t>
      </w:r>
      <w:r>
        <w:rPr>
          <w:sz w:val="30"/>
          <w:szCs w:val="30"/>
          <w:spacing w:val="5"/>
        </w:rPr>
        <w:t>個高校</w:t>
      </w:r>
      <w:r>
        <w:rPr>
          <w:sz w:val="30"/>
          <w:szCs w:val="30"/>
          <w:spacing w:val="4"/>
        </w:rPr>
        <w:t>預科志願 。</w:t>
      </w:r>
    </w:p>
    <w:p>
      <w:pPr>
        <w:pStyle w:val="BodyText"/>
        <w:ind w:left="19" w:right="12" w:firstLine="640"/>
        <w:spacing w:before="253" w:line="226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（四）填報志願時</w:t>
      </w:r>
      <w:r>
        <w:rPr>
          <w:sz w:val="30"/>
          <w:szCs w:val="30"/>
          <w:spacing w:val="-3"/>
        </w:rPr>
        <w:t xml:space="preserve"> </w:t>
      </w:r>
      <w:r>
        <w:rPr>
          <w:sz w:val="30"/>
          <w:szCs w:val="30"/>
          <w:spacing w:val="3"/>
        </w:rPr>
        <w:t>，同一批次同一院校，考生可同時兼報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3"/>
        </w:rPr>
        <w:t>普通類專業和體育類 、藝術類專業 。</w:t>
      </w:r>
    </w:p>
    <w:p>
      <w:pPr>
        <w:pStyle w:val="BodyText"/>
        <w:ind w:left="33" w:right="14" w:firstLine="626"/>
        <w:spacing w:before="253" w:line="225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（五）體育類、藝術類術科考試不合格或未參加術科考試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4"/>
        </w:rPr>
        <w:t>的考生，不得填報相應的體育類 、藝術類專業 。</w:t>
      </w:r>
    </w:p>
    <w:p>
      <w:pPr>
        <w:ind w:left="680"/>
        <w:spacing w:before="237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4"/>
        </w:rPr>
        <w:t>五、錄取</w:t>
      </w:r>
    </w:p>
    <w:p>
      <w:pPr>
        <w:pStyle w:val="BodyText"/>
        <w:ind w:left="24" w:right="12" w:firstLine="635"/>
        <w:spacing w:before="317" w:line="237" w:lineRule="auto"/>
        <w:rPr>
          <w:sz w:val="30"/>
          <w:szCs w:val="30"/>
        </w:rPr>
      </w:pPr>
      <w:r>
        <w:rPr>
          <w:sz w:val="30"/>
          <w:szCs w:val="30"/>
          <w:spacing w:val="8"/>
        </w:rPr>
        <w:t>（一）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7</w:t>
      </w:r>
      <w:r>
        <w:rPr>
          <w:rFonts w:ascii="Times New Roman" w:hAnsi="Times New Roman" w:eastAsia="Times New Roman" w:cs="Times New Roman"/>
          <w:sz w:val="30"/>
          <w:szCs w:val="30"/>
          <w:spacing w:val="36"/>
        </w:rPr>
        <w:t xml:space="preserve"> </w:t>
      </w:r>
      <w:r>
        <w:rPr>
          <w:sz w:val="30"/>
          <w:szCs w:val="30"/>
          <w:spacing w:val="8"/>
        </w:rPr>
        <w:t>月初組織錄取工作。錄取工作實施網上錄取，分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為本科和預科兩個批次，按照</w:t>
      </w:r>
      <w:r>
        <w:rPr>
          <w:rFonts w:ascii="Times New Roman" w:hAnsi="Times New Roman" w:eastAsia="Times New Roman" w:cs="Times New Roman"/>
          <w:sz w:val="30"/>
          <w:szCs w:val="30"/>
          <w:spacing w:val="7"/>
        </w:rPr>
        <w:t>“</w:t>
      </w:r>
      <w:r>
        <w:rPr>
          <w:sz w:val="30"/>
          <w:szCs w:val="30"/>
          <w:spacing w:val="7"/>
        </w:rPr>
        <w:t>先本科、後預科</w:t>
      </w:r>
      <w:r>
        <w:rPr>
          <w:rFonts w:ascii="Times New Roman" w:hAnsi="Times New Roman" w:eastAsia="Times New Roman" w:cs="Times New Roman"/>
          <w:sz w:val="30"/>
          <w:szCs w:val="30"/>
          <w:spacing w:val="7"/>
        </w:rPr>
        <w:t>”</w:t>
      </w:r>
      <w:r>
        <w:rPr>
          <w:rFonts w:ascii="Times New Roman" w:hAnsi="Times New Roman" w:eastAsia="Times New Roman" w:cs="Times New Roman"/>
          <w:sz w:val="30"/>
          <w:szCs w:val="30"/>
          <w:spacing w:val="-40"/>
        </w:rPr>
        <w:t xml:space="preserve"> </w:t>
      </w:r>
      <w:r>
        <w:rPr>
          <w:sz w:val="30"/>
          <w:szCs w:val="30"/>
          <w:spacing w:val="7"/>
        </w:rPr>
        <w:t>的順序，實行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2"/>
        </w:rPr>
        <w:t>平行志願投檔錄取。</w:t>
      </w:r>
    </w:p>
    <w:p>
      <w:pPr>
        <w:pStyle w:val="BodyText"/>
        <w:ind w:left="24" w:right="12" w:firstLine="635"/>
        <w:spacing w:before="252" w:line="225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（二）我校根據考生考試成績、志願及本校招</w:t>
      </w:r>
      <w:r>
        <w:rPr>
          <w:sz w:val="30"/>
          <w:szCs w:val="30"/>
          <w:spacing w:val="2"/>
        </w:rPr>
        <w:t>生計畫 、錄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取要求，在聯招辦劃定的最低錄取控制分數線以上擇優錄取新</w:t>
      </w:r>
    </w:p>
    <w:p>
      <w:pPr>
        <w:spacing w:line="225" w:lineRule="auto"/>
        <w:sectPr>
          <w:footerReference w:type="default" r:id="rId8"/>
          <w:pgSz w:w="11907" w:h="16839"/>
          <w:pgMar w:top="1271" w:right="1785" w:bottom="1775" w:left="1785" w:header="0" w:footer="1527" w:gutter="0"/>
        </w:sectPr>
        <w:rPr>
          <w:sz w:val="30"/>
          <w:szCs w:val="30"/>
        </w:rPr>
      </w:pPr>
    </w:p>
    <w:p>
      <w:pPr>
        <w:pStyle w:val="BodyText"/>
        <w:ind w:left="28" w:right="316" w:hanging="4"/>
        <w:spacing w:before="63" w:line="260" w:lineRule="auto"/>
        <w:rPr>
          <w:sz w:val="30"/>
          <w:szCs w:val="30"/>
        </w:rPr>
      </w:pPr>
      <w:r>
        <w:rPr>
          <w:sz w:val="30"/>
          <w:szCs w:val="30"/>
          <w:spacing w:val="4"/>
        </w:rPr>
        <w:t>生。擬錄取考生名單報聯招辦核准後辦理錄取手續</w:t>
      </w:r>
      <w:r>
        <w:rPr>
          <w:sz w:val="30"/>
          <w:szCs w:val="30"/>
          <w:spacing w:val="-7"/>
        </w:rPr>
        <w:t xml:space="preserve"> </w:t>
      </w:r>
      <w:r>
        <w:rPr>
          <w:sz w:val="30"/>
          <w:szCs w:val="30"/>
          <w:spacing w:val="4"/>
        </w:rPr>
        <w:t>，向考生寄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8"/>
        </w:rPr>
        <w:t>送加蓋本校公章的新生錄取通知書 。</w:t>
      </w:r>
    </w:p>
    <w:p>
      <w:pPr>
        <w:pStyle w:val="BodyText"/>
        <w:ind w:left="19" w:right="309" w:firstLine="640"/>
        <w:spacing w:before="104" w:line="243" w:lineRule="auto"/>
        <w:rPr>
          <w:sz w:val="30"/>
          <w:szCs w:val="30"/>
        </w:rPr>
      </w:pPr>
      <w:r>
        <w:rPr>
          <w:sz w:val="30"/>
          <w:szCs w:val="30"/>
          <w:spacing w:val="4"/>
        </w:rPr>
        <w:t>（三）被錄取的應屆高中畢業生須在當年</w:t>
      </w:r>
      <w:r>
        <w:rPr>
          <w:sz w:val="30"/>
          <w:szCs w:val="30"/>
          <w:spacing w:val="2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>7</w:t>
      </w:r>
      <w:r>
        <w:rPr>
          <w:rFonts w:ascii="Times New Roman" w:hAnsi="Times New Roman" w:eastAsia="Times New Roman" w:cs="Times New Roman"/>
          <w:sz w:val="30"/>
          <w:szCs w:val="30"/>
          <w:spacing w:val="56"/>
          <w:w w:val="101"/>
        </w:rPr>
        <w:t xml:space="preserve"> </w:t>
      </w:r>
      <w:r>
        <w:rPr>
          <w:sz w:val="30"/>
          <w:szCs w:val="30"/>
          <w:spacing w:val="4"/>
        </w:rPr>
        <w:t>月</w:t>
      </w:r>
      <w:r>
        <w:rPr>
          <w:sz w:val="30"/>
          <w:szCs w:val="30"/>
          <w:spacing w:val="53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>1</w:t>
      </w:r>
      <w:r>
        <w:rPr>
          <w:rFonts w:ascii="Times New Roman" w:hAnsi="Times New Roman" w:eastAsia="Times New Roman" w:cs="Times New Roman"/>
          <w:sz w:val="30"/>
          <w:szCs w:val="30"/>
          <w:spacing w:val="3"/>
        </w:rPr>
        <w:t>5  </w:t>
      </w:r>
      <w:r>
        <w:rPr>
          <w:sz w:val="30"/>
          <w:szCs w:val="30"/>
          <w:spacing w:val="3"/>
        </w:rPr>
        <w:t>日至</w:t>
      </w:r>
      <w:r>
        <w:rPr>
          <w:sz w:val="30"/>
          <w:szCs w:val="30"/>
          <w:spacing w:val="29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3"/>
        </w:rPr>
        <w:t>9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月</w:t>
      </w:r>
      <w:r>
        <w:rPr>
          <w:sz w:val="30"/>
          <w:szCs w:val="30"/>
          <w:spacing w:val="5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7"/>
        </w:rPr>
        <w:t>30  </w:t>
      </w:r>
      <w:r>
        <w:rPr>
          <w:sz w:val="30"/>
          <w:szCs w:val="30"/>
          <w:spacing w:val="7"/>
        </w:rPr>
        <w:t>日登錄報名系統上傳高中畢業證書（證明）及高三下學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期的成績單。高中畢業證書（證明）核驗作為入學後新生複查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1"/>
        </w:rPr>
        <w:t>的內容，由我校按有關規定進行。</w:t>
      </w:r>
    </w:p>
    <w:p>
      <w:pPr>
        <w:ind w:left="681"/>
        <w:spacing w:before="238" w:line="224" w:lineRule="auto"/>
        <w:outlineLvl w:val="1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5"/>
        </w:rPr>
        <w:t>六、新生報到</w:t>
      </w:r>
    </w:p>
    <w:p>
      <w:pPr>
        <w:pStyle w:val="BodyText"/>
        <w:ind w:left="19" w:firstLine="645"/>
        <w:spacing w:before="309" w:line="261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考生憑錄取通知書按規定的時間及相關要求到校辦</w:t>
      </w:r>
      <w:r>
        <w:rPr>
          <w:sz w:val="30"/>
          <w:szCs w:val="30"/>
          <w:spacing w:val="18"/>
        </w:rPr>
        <w:t>理報</w:t>
      </w:r>
      <w:r>
        <w:rPr>
          <w:sz w:val="30"/>
          <w:szCs w:val="30"/>
        </w:rPr>
        <w:t xml:space="preserve">    </w:t>
      </w:r>
      <w:r>
        <w:rPr>
          <w:sz w:val="30"/>
          <w:szCs w:val="30"/>
          <w:spacing w:val="1"/>
        </w:rPr>
        <w:t>到等手續 。學生入學註冊時 ，應繳納學費及其</w:t>
      </w:r>
      <w:r>
        <w:rPr>
          <w:sz w:val="30"/>
          <w:szCs w:val="30"/>
        </w:rPr>
        <w:t>他費用，收費標    </w:t>
      </w:r>
      <w:r>
        <w:rPr>
          <w:sz w:val="30"/>
          <w:szCs w:val="30"/>
          <w:spacing w:val="7"/>
        </w:rPr>
        <w:t>準與內地（祖國大陸）同校同專業學生相同。新生入學後，根</w:t>
      </w:r>
      <w:r>
        <w:rPr>
          <w:sz w:val="30"/>
          <w:szCs w:val="30"/>
          <w:spacing w:val="3"/>
        </w:rPr>
        <w:t xml:space="preserve">    </w:t>
      </w:r>
      <w:r>
        <w:rPr>
          <w:sz w:val="30"/>
          <w:szCs w:val="30"/>
          <w:spacing w:val="7"/>
        </w:rPr>
        <w:t>據高校有關規定進行身體檢查和新生入學複查，不符合要求的，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4"/>
        </w:rPr>
        <w:t>取消入學資格；僅專業受限者，可商轉其他專業 。錄取就讀預</w:t>
      </w:r>
      <w:r>
        <w:rPr>
          <w:sz w:val="30"/>
          <w:szCs w:val="30"/>
        </w:rPr>
        <w:t xml:space="preserve">    </w:t>
      </w:r>
      <w:r>
        <w:rPr>
          <w:sz w:val="30"/>
          <w:szCs w:val="30"/>
          <w:spacing w:val="7"/>
        </w:rPr>
        <w:t>科的學生經過一年學習後須參加錄取高校組織的考試，合格者</w:t>
      </w:r>
      <w:r>
        <w:rPr>
          <w:sz w:val="30"/>
          <w:szCs w:val="30"/>
          <w:spacing w:val="2"/>
        </w:rPr>
        <w:t xml:space="preserve">    </w:t>
      </w:r>
      <w:r>
        <w:rPr>
          <w:sz w:val="30"/>
          <w:szCs w:val="30"/>
          <w:spacing w:val="8"/>
        </w:rPr>
        <w:t>方可進入本科階段學習 。</w:t>
      </w:r>
    </w:p>
    <w:p>
      <w:pPr>
        <w:ind w:left="670"/>
        <w:spacing w:before="88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7"/>
        </w:rPr>
        <w:t>七、違規處理</w:t>
      </w:r>
    </w:p>
    <w:p>
      <w:pPr>
        <w:pStyle w:val="BodyText"/>
        <w:ind w:left="19" w:right="309" w:firstLine="650"/>
        <w:spacing w:before="310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6"/>
        </w:rPr>
        <w:t>在聯招報名、考試等環節出現違規行為的，按照《國家教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7"/>
        </w:rPr>
        <w:t>育考試違規處理辦法》《普通高等學校招生違規行為處理暫行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11"/>
        </w:rPr>
        <w:t>辦法》確定的程式和規定處理。</w:t>
      </w:r>
    </w:p>
    <w:p>
      <w:pPr>
        <w:ind w:left="672"/>
        <w:spacing w:before="91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6"/>
        </w:rPr>
        <w:t>八、其他</w:t>
      </w:r>
    </w:p>
    <w:p>
      <w:pPr>
        <w:pStyle w:val="BodyText"/>
        <w:ind w:left="24" w:right="309" w:firstLine="635"/>
        <w:spacing w:before="311" w:line="260" w:lineRule="auto"/>
        <w:jc w:val="both"/>
        <w:rPr>
          <w:sz w:val="30"/>
          <w:szCs w:val="30"/>
        </w:rPr>
      </w:pPr>
      <w:r>
        <w:rPr>
          <w:sz w:val="30"/>
          <w:szCs w:val="30"/>
          <w:spacing w:val="4"/>
        </w:rPr>
        <w:t>（一）考生可在報名系統查詢考試成績和錄取情況</w:t>
      </w:r>
      <w:r>
        <w:rPr>
          <w:sz w:val="30"/>
          <w:szCs w:val="30"/>
          <w:spacing w:val="-26"/>
        </w:rPr>
        <w:t xml:space="preserve"> </w:t>
      </w:r>
      <w:r>
        <w:rPr>
          <w:sz w:val="30"/>
          <w:szCs w:val="30"/>
          <w:spacing w:val="4"/>
        </w:rPr>
        <w:t>，</w:t>
      </w:r>
      <w:r>
        <w:rPr>
          <w:sz w:val="30"/>
          <w:szCs w:val="30"/>
          <w:spacing w:val="3"/>
        </w:rPr>
        <w:t>下載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"/>
        </w:rPr>
        <w:t>電子成績證書。可在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“</w:t>
      </w:r>
      <w:r>
        <w:rPr>
          <w:rFonts w:ascii="Times New Roman" w:hAnsi="Times New Roman" w:eastAsia="Times New Roman" w:cs="Times New Roman"/>
          <w:sz w:val="30"/>
          <w:szCs w:val="30"/>
          <w:spacing w:val="-42"/>
        </w:rPr>
        <w:t xml:space="preserve"> </w:t>
      </w:r>
      <w:r>
        <w:rPr>
          <w:sz w:val="30"/>
          <w:szCs w:val="30"/>
          <w:spacing w:val="1"/>
        </w:rPr>
        <w:t>內地（祖國大陸）高校面向港澳臺地區招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9"/>
        </w:rPr>
        <w:t>生資訊網</w:t>
      </w:r>
      <w:r>
        <w:rPr>
          <w:rFonts w:ascii="Times New Roman" w:hAnsi="Times New Roman" w:eastAsia="Times New Roman" w:cs="Times New Roman"/>
          <w:sz w:val="30"/>
          <w:szCs w:val="30"/>
          <w:spacing w:val="9"/>
        </w:rPr>
        <w:t>”</w:t>
      </w:r>
      <w:r>
        <w:rPr>
          <w:sz w:val="30"/>
          <w:szCs w:val="30"/>
          <w:spacing w:val="9"/>
        </w:rPr>
        <w:t>（</w:t>
      </w:r>
      <w:hyperlink w:history="true" r:id="rId10">
        <w:r>
          <w:rPr>
            <w:rFonts w:ascii="Times New Roman" w:hAnsi="Times New Roman" w:eastAsia="Times New Roman" w:cs="Times New Roman"/>
            <w:sz w:val="30"/>
            <w:szCs w:val="30"/>
          </w:rPr>
          <w:t>https</w:t>
        </w:r>
        <w:r>
          <w:rPr>
            <w:rFonts w:ascii="Times New Roman" w:hAnsi="Times New Roman" w:eastAsia="Times New Roman" w:cs="Times New Roman"/>
            <w:sz w:val="30"/>
            <w:szCs w:val="30"/>
            <w:spacing w:val="9"/>
          </w:rPr>
          <w:t>://</w:t>
        </w:r>
        <w:r>
          <w:rPr>
            <w:rFonts w:ascii="Times New Roman" w:hAnsi="Times New Roman" w:eastAsia="Times New Roman" w:cs="Times New Roman"/>
            <w:sz w:val="30"/>
            <w:szCs w:val="30"/>
          </w:rPr>
          <w:t>www</w:t>
        </w:r>
        <w:r>
          <w:rPr>
            <w:rFonts w:ascii="Times New Roman" w:hAnsi="Times New Roman" w:eastAsia="Times New Roman" w:cs="Times New Roman"/>
            <w:sz w:val="30"/>
            <w:szCs w:val="30"/>
            <w:spacing w:val="9"/>
          </w:rPr>
          <w:t>.</w:t>
        </w:r>
        <w:r>
          <w:rPr>
            <w:rFonts w:ascii="Times New Roman" w:hAnsi="Times New Roman" w:eastAsia="Times New Roman" w:cs="Times New Roman"/>
            <w:sz w:val="30"/>
            <w:szCs w:val="30"/>
          </w:rPr>
          <w:t>gatzs</w:t>
        </w:r>
        <w:r>
          <w:rPr>
            <w:rFonts w:ascii="Times New Roman" w:hAnsi="Times New Roman" w:eastAsia="Times New Roman" w:cs="Times New Roman"/>
            <w:sz w:val="30"/>
            <w:szCs w:val="30"/>
            <w:spacing w:val="9"/>
          </w:rPr>
          <w:t>.</w:t>
        </w:r>
        <w:r>
          <w:rPr>
            <w:rFonts w:ascii="Times New Roman" w:hAnsi="Times New Roman" w:eastAsia="Times New Roman" w:cs="Times New Roman"/>
            <w:sz w:val="30"/>
            <w:szCs w:val="30"/>
          </w:rPr>
          <w:t>com</w:t>
        </w:r>
        <w:r>
          <w:rPr>
            <w:rFonts w:ascii="Times New Roman" w:hAnsi="Times New Roman" w:eastAsia="Times New Roman" w:cs="Times New Roman"/>
            <w:sz w:val="30"/>
            <w:szCs w:val="30"/>
            <w:spacing w:val="9"/>
          </w:rPr>
          <w:t>.</w:t>
        </w:r>
        <w:r>
          <w:rPr>
            <w:rFonts w:ascii="Times New Roman" w:hAnsi="Times New Roman" w:eastAsia="Times New Roman" w:cs="Times New Roman"/>
            <w:sz w:val="30"/>
            <w:szCs w:val="30"/>
          </w:rPr>
          <w:t>cn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41"/>
        </w:rPr>
        <w:t xml:space="preserve"> </w:t>
      </w:r>
      <w:r>
        <w:rPr>
          <w:sz w:val="30"/>
          <w:szCs w:val="30"/>
          <w:spacing w:val="9"/>
        </w:rPr>
        <w:t>）上查詢有關招</w:t>
      </w:r>
      <w:r>
        <w:rPr>
          <w:sz w:val="30"/>
          <w:szCs w:val="30"/>
          <w:spacing w:val="8"/>
        </w:rPr>
        <w:t>生政策和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招生辦法及高校資訊 。</w:t>
      </w:r>
    </w:p>
    <w:p>
      <w:pPr>
        <w:spacing w:line="260" w:lineRule="auto"/>
        <w:sectPr>
          <w:footerReference w:type="default" r:id="rId9"/>
          <w:pgSz w:w="11907" w:h="16839"/>
          <w:pgMar w:top="1271" w:right="1488" w:bottom="1775" w:left="1785" w:header="0" w:footer="1527" w:gutter="0"/>
        </w:sectPr>
        <w:rPr>
          <w:sz w:val="30"/>
          <w:szCs w:val="30"/>
        </w:rPr>
      </w:pPr>
    </w:p>
    <w:p>
      <w:pPr>
        <w:pStyle w:val="BodyText"/>
        <w:ind w:left="24" w:right="12" w:firstLine="635"/>
        <w:spacing w:before="61" w:line="247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（二）學生在校期間</w:t>
      </w:r>
      <w:r>
        <w:rPr>
          <w:sz w:val="30"/>
          <w:szCs w:val="30"/>
          <w:spacing w:val="-3"/>
        </w:rPr>
        <w:t xml:space="preserve"> </w:t>
      </w:r>
      <w:r>
        <w:rPr>
          <w:sz w:val="30"/>
          <w:szCs w:val="30"/>
          <w:spacing w:val="3"/>
        </w:rPr>
        <w:t>，高校按教育部等六部門發佈的《普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通高等學校招收和培養香港特別行政區、澳門特別行政區及臺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7"/>
        </w:rPr>
        <w:t>灣地區學生的規定》進行管理。學生與內地（祖國大陸）學生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7"/>
        </w:rPr>
        <w:t>享受同等醫療保障政策，按規定參加高校所在地城鎮居民基本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11"/>
        </w:rPr>
        <w:t>醫療保險並享受同等待遇。</w:t>
      </w:r>
    </w:p>
    <w:p>
      <w:pPr>
        <w:pStyle w:val="BodyText"/>
        <w:ind w:left="19" w:right="12" w:firstLine="640"/>
        <w:spacing w:before="255" w:line="237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（三）學生修業期滿</w:t>
      </w:r>
      <w:r>
        <w:rPr>
          <w:sz w:val="30"/>
          <w:szCs w:val="30"/>
          <w:spacing w:val="-3"/>
        </w:rPr>
        <w:t xml:space="preserve"> </w:t>
      </w:r>
      <w:r>
        <w:rPr>
          <w:sz w:val="30"/>
          <w:szCs w:val="30"/>
          <w:spacing w:val="3"/>
        </w:rPr>
        <w:t>，考試成績合格，由高校頒發畢業證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4"/>
        </w:rPr>
        <w:t>書 。符合《中華人民共和國學位條例》規定條件的，授予學士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7"/>
        </w:rPr>
        <w:t>學位。</w:t>
      </w:r>
    </w:p>
    <w:p>
      <w:pPr>
        <w:pStyle w:val="BodyText"/>
        <w:ind w:left="19" w:right="12" w:firstLine="640"/>
        <w:spacing w:before="253" w:line="243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（四）具體報名、列印准考證、公佈成績 、</w:t>
      </w:r>
      <w:r>
        <w:rPr>
          <w:sz w:val="30"/>
          <w:szCs w:val="30"/>
          <w:spacing w:val="2"/>
        </w:rPr>
        <w:t>填報志願時間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5"/>
        </w:rPr>
        <w:t>安排及注意事項</w:t>
      </w:r>
      <w:r>
        <w:rPr>
          <w:sz w:val="30"/>
          <w:szCs w:val="30"/>
          <w:spacing w:val="-18"/>
        </w:rPr>
        <w:t xml:space="preserve"> </w:t>
      </w:r>
      <w:r>
        <w:rPr>
          <w:sz w:val="30"/>
          <w:szCs w:val="30"/>
          <w:spacing w:val="5"/>
        </w:rPr>
        <w:t>，請留意聯招辦和報考點公告。</w:t>
      </w:r>
      <w:r>
        <w:rPr>
          <w:sz w:val="30"/>
          <w:szCs w:val="30"/>
          <w:spacing w:val="4"/>
        </w:rPr>
        <w:t>聯招辦位址及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6"/>
        </w:rPr>
        <w:t>聯繫電話</w:t>
      </w:r>
      <w:r>
        <w:rPr>
          <w:sz w:val="30"/>
          <w:szCs w:val="30"/>
          <w:spacing w:val="-15"/>
        </w:rPr>
        <w:t xml:space="preserve"> </w:t>
      </w:r>
      <w:r>
        <w:rPr>
          <w:sz w:val="30"/>
          <w:szCs w:val="30"/>
          <w:spacing w:val="6"/>
        </w:rPr>
        <w:t>：廣東省廣州市天河區中山大道西</w:t>
      </w:r>
      <w:r>
        <w:rPr>
          <w:sz w:val="30"/>
          <w:szCs w:val="30"/>
          <w:spacing w:val="48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69</w:t>
      </w:r>
      <w:r>
        <w:rPr>
          <w:rFonts w:ascii="Times New Roman" w:hAnsi="Times New Roman" w:eastAsia="Times New Roman" w:cs="Times New Roman"/>
          <w:sz w:val="30"/>
          <w:szCs w:val="30"/>
          <w:spacing w:val="58"/>
        </w:rPr>
        <w:t xml:space="preserve"> </w:t>
      </w:r>
      <w:r>
        <w:rPr>
          <w:sz w:val="30"/>
          <w:szCs w:val="30"/>
          <w:spacing w:val="5"/>
        </w:rPr>
        <w:t>號廣東省教育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"/>
        </w:rPr>
        <w:t>考試院大樓 ，</w:t>
      </w: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86-20-62833628</w:t>
      </w:r>
      <w:r>
        <w:rPr>
          <w:rFonts w:ascii="Times New Roman" w:hAnsi="Times New Roman" w:eastAsia="Times New Roman" w:cs="Times New Roman"/>
          <w:sz w:val="30"/>
          <w:szCs w:val="30"/>
          <w:spacing w:val="35"/>
        </w:rPr>
        <w:t xml:space="preserve"> </w:t>
      </w:r>
      <w:r>
        <w:rPr>
          <w:sz w:val="30"/>
          <w:szCs w:val="30"/>
          <w:spacing w:val="1"/>
        </w:rPr>
        <w:t>。</w:t>
      </w:r>
    </w:p>
    <w:p>
      <w:pPr>
        <w:pStyle w:val="BodyText"/>
        <w:ind w:left="6562" w:right="14" w:hanging="1956"/>
        <w:spacing w:before="255" w:line="306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廣州大學招生委員會辦公室</w:t>
      </w:r>
      <w:r>
        <w:rPr>
          <w:sz w:val="30"/>
          <w:szCs w:val="30"/>
          <w:spacing w:val="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2024</w:t>
      </w:r>
      <w:r>
        <w:rPr>
          <w:rFonts w:ascii="FangSong" w:hAnsi="FangSong" w:eastAsia="FangSong" w:cs="FangSong"/>
          <w:sz w:val="30"/>
          <w:szCs w:val="30"/>
          <w:spacing w:val="-64"/>
        </w:rPr>
        <w:t xml:space="preserve"> </w:t>
      </w:r>
      <w:r>
        <w:rPr>
          <w:sz w:val="30"/>
          <w:szCs w:val="30"/>
          <w:spacing w:val="-4"/>
        </w:rPr>
        <w:t>年</w:t>
      </w:r>
      <w:r>
        <w:rPr>
          <w:sz w:val="30"/>
          <w:szCs w:val="30"/>
          <w:spacing w:val="2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1</w:t>
      </w:r>
      <w:r>
        <w:rPr>
          <w:rFonts w:ascii="FangSong" w:hAnsi="FangSong" w:eastAsia="FangSong" w:cs="FangSong"/>
          <w:sz w:val="30"/>
          <w:szCs w:val="30"/>
          <w:spacing w:val="-48"/>
        </w:rPr>
        <w:t xml:space="preserve"> </w:t>
      </w:r>
      <w:r>
        <w:rPr>
          <w:sz w:val="30"/>
          <w:szCs w:val="30"/>
          <w:spacing w:val="-4"/>
        </w:rPr>
        <w:t>月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598"/>
        <w:spacing w:before="120" w:line="185" w:lineRule="auto"/>
        <w:rPr/>
      </w:pPr>
      <w:r>
        <w:rPr>
          <w:spacing w:val="-1"/>
        </w:rPr>
        <w:t>附表：廣州大學 </w:t>
      </w:r>
      <w:r>
        <w:rPr>
          <w:rFonts w:ascii="SimHei" w:hAnsi="SimHei" w:eastAsia="SimHei" w:cs="SimHei"/>
          <w:spacing w:val="-1"/>
        </w:rPr>
        <w:t>2024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1"/>
        </w:rPr>
        <w:t>年聯合招收華僑港澳臺學生專</w:t>
      </w:r>
      <w:r>
        <w:rPr>
          <w:spacing w:val="-2"/>
        </w:rPr>
        <w:t>業目錄</w:t>
      </w:r>
    </w:p>
    <w:p>
      <w:pPr>
        <w:spacing w:line="185" w:lineRule="auto"/>
        <w:sectPr>
          <w:footerReference w:type="default" r:id="rId11"/>
          <w:pgSz w:w="11907" w:h="16839"/>
          <w:pgMar w:top="1271" w:right="1785" w:bottom="1775" w:left="1785" w:header="0" w:footer="1527" w:gutter="0"/>
        </w:sectPr>
        <w:rPr/>
      </w:pPr>
    </w:p>
    <w:p>
      <w:pPr>
        <w:pStyle w:val="BodyText"/>
        <w:ind w:left="684"/>
        <w:spacing w:before="55" w:line="185" w:lineRule="auto"/>
        <w:rPr/>
      </w:pPr>
      <w:r>
        <w:rPr>
          <w:spacing w:val="-1"/>
        </w:rPr>
        <w:t>附表：廣州大學 </w:t>
      </w:r>
      <w:r>
        <w:rPr>
          <w:rFonts w:ascii="SimHei" w:hAnsi="SimHei" w:eastAsia="SimHei" w:cs="SimHei"/>
          <w:spacing w:val="-1"/>
        </w:rPr>
        <w:t>2024</w:t>
      </w:r>
      <w:r>
        <w:rPr>
          <w:rFonts w:ascii="SimHei" w:hAnsi="SimHei" w:eastAsia="SimHei" w:cs="SimHei"/>
          <w:spacing w:val="-65"/>
        </w:rPr>
        <w:t xml:space="preserve"> </w:t>
      </w:r>
      <w:r>
        <w:rPr>
          <w:spacing w:val="-1"/>
        </w:rPr>
        <w:t>年聯合招收華僑港澳臺學</w:t>
      </w:r>
      <w:r>
        <w:rPr>
          <w:spacing w:val="-2"/>
        </w:rPr>
        <w:t>生專業目錄</w:t>
      </w:r>
    </w:p>
    <w:p>
      <w:pPr>
        <w:spacing w:line="73" w:lineRule="exact"/>
        <w:rPr/>
      </w:pPr>
      <w:r/>
    </w:p>
    <w:tbl>
      <w:tblPr>
        <w:tblStyle w:val="TableNormal"/>
        <w:tblW w:w="85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552"/>
        <w:gridCol w:w="1416"/>
        <w:gridCol w:w="851"/>
        <w:gridCol w:w="713"/>
      </w:tblGrid>
      <w:tr>
        <w:trPr>
          <w:trHeight w:val="396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37"/>
              <w:spacing w:before="5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序号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0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学院</w:t>
            </w:r>
          </w:p>
        </w:tc>
        <w:tc>
          <w:tcPr>
            <w:tcW w:w="2552" w:type="dxa"/>
            <w:vAlign w:val="top"/>
          </w:tcPr>
          <w:p>
            <w:pPr>
              <w:pStyle w:val="TableText"/>
              <w:ind w:left="839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专业名称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27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专业限制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216"/>
              <w:spacing w:before="8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学制</w:t>
            </w:r>
          </w:p>
        </w:tc>
      </w:tr>
      <w:tr>
        <w:trPr>
          <w:trHeight w:val="39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22"/>
              <w:spacing w:before="127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8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8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26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84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金融學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8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2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11"/>
              <w:spacing w:before="125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3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552"/>
              <w:spacing w:before="83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國際經濟與貿易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83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1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06"/>
              <w:spacing w:before="126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8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統計學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85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2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11"/>
              <w:spacing w:before="128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225"/>
              <w:spacing w:before="85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數據科學與大數據技術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85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09"/>
              <w:spacing w:before="12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經濟與統計學院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86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數字經濟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8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9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12"/>
              <w:spacing w:before="131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89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法學院（律師學院）</w:t>
            </w:r>
          </w:p>
        </w:tc>
        <w:tc>
          <w:tcPr>
            <w:tcW w:w="2552" w:type="dxa"/>
            <w:vAlign w:val="top"/>
          </w:tcPr>
          <w:p>
            <w:pPr>
              <w:ind w:left="1069"/>
              <w:spacing w:before="88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法學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21"/>
              <w:spacing w:before="88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38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08"/>
              <w:spacing w:before="128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8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馬克思主義學院</w:t>
            </w:r>
          </w:p>
        </w:tc>
        <w:tc>
          <w:tcPr>
            <w:tcW w:w="2552" w:type="dxa"/>
            <w:vAlign w:val="top"/>
          </w:tcPr>
          <w:p>
            <w:pPr>
              <w:ind w:left="231"/>
              <w:spacing w:before="87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思想政治教育（師範）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21"/>
              <w:spacing w:before="86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2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308"/>
              <w:spacing w:before="248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0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40" w:line="170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328"/>
              <w:spacing w:before="206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教育技術學（師範）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20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248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1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41" w:line="16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434"/>
              <w:spacing w:before="207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學前教育（師範）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15"/>
              <w:spacing w:before="21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不招色盲色弱</w:t>
            </w:r>
          </w:p>
        </w:tc>
        <w:tc>
          <w:tcPr>
            <w:tcW w:w="851" w:type="dxa"/>
            <w:vAlign w:val="top"/>
          </w:tcPr>
          <w:p>
            <w:pPr>
              <w:ind w:left="112"/>
              <w:spacing w:before="20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248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2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40" w:line="16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437"/>
              <w:spacing w:before="208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小學教育（師範）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2"/>
              <w:spacing w:before="20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249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2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39" w:line="16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434"/>
              <w:spacing w:before="208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特殊教育（師範）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15"/>
              <w:spacing w:before="216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不招色盲色弱</w:t>
            </w:r>
          </w:p>
        </w:tc>
        <w:tc>
          <w:tcPr>
            <w:tcW w:w="851" w:type="dxa"/>
            <w:vAlign w:val="top"/>
          </w:tcPr>
          <w:p>
            <w:pPr>
              <w:ind w:left="112"/>
              <w:spacing w:before="20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252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5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39" w:line="16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748"/>
              <w:spacing w:before="212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應用心理學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15"/>
              <w:spacing w:before="219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不招色盲色弱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12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9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25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14</w:t>
            </w:r>
          </w:p>
        </w:tc>
        <w:tc>
          <w:tcPr>
            <w:tcW w:w="2267" w:type="dxa"/>
            <w:vAlign w:val="top"/>
          </w:tcPr>
          <w:p>
            <w:pPr>
              <w:ind w:left="290"/>
              <w:spacing w:before="53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教育學院（師範學</w:t>
            </w:r>
          </w:p>
          <w:p>
            <w:pPr>
              <w:ind w:left="932"/>
              <w:spacing w:before="39" w:line="16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3"/>
              </w:rPr>
              <w:t>院）</w:t>
            </w:r>
          </w:p>
        </w:tc>
        <w:tc>
          <w:tcPr>
            <w:tcW w:w="2552" w:type="dxa"/>
            <w:vAlign w:val="top"/>
          </w:tcPr>
          <w:p>
            <w:pPr>
              <w:ind w:left="328"/>
              <w:spacing w:before="209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應用心理學（師範）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15"/>
              <w:spacing w:before="217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不招色盲色弱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1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15</w:t>
            </w:r>
          </w:p>
        </w:tc>
        <w:tc>
          <w:tcPr>
            <w:tcW w:w="2267" w:type="dxa"/>
            <w:vAlign w:val="top"/>
          </w:tcPr>
          <w:p>
            <w:pPr>
              <w:ind w:left="714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人文學院</w:t>
            </w:r>
          </w:p>
        </w:tc>
        <w:tc>
          <w:tcPr>
            <w:tcW w:w="2552" w:type="dxa"/>
            <w:vAlign w:val="top"/>
          </w:tcPr>
          <w:p>
            <w:pPr>
              <w:ind w:left="751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漢語言文學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16</w:t>
            </w:r>
          </w:p>
        </w:tc>
        <w:tc>
          <w:tcPr>
            <w:tcW w:w="2267" w:type="dxa"/>
            <w:vAlign w:val="top"/>
          </w:tcPr>
          <w:p>
            <w:pPr>
              <w:ind w:left="714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人文學院</w:t>
            </w:r>
          </w:p>
        </w:tc>
        <w:tc>
          <w:tcPr>
            <w:tcW w:w="2552" w:type="dxa"/>
            <w:vAlign w:val="top"/>
          </w:tcPr>
          <w:p>
            <w:pPr>
              <w:ind w:left="331"/>
              <w:spacing w:before="129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漢語言文學（師範）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17</w:t>
            </w:r>
          </w:p>
        </w:tc>
        <w:tc>
          <w:tcPr>
            <w:tcW w:w="2267" w:type="dxa"/>
            <w:vAlign w:val="top"/>
          </w:tcPr>
          <w:p>
            <w:pPr>
              <w:ind w:left="714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人文學院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130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歷史學（師範）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2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歷史學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18</w:t>
            </w:r>
          </w:p>
        </w:tc>
        <w:tc>
          <w:tcPr>
            <w:tcW w:w="2267" w:type="dxa"/>
            <w:vAlign w:val="top"/>
          </w:tcPr>
          <w:p>
            <w:pPr>
              <w:ind w:left="60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外國語學院</w:t>
            </w:r>
          </w:p>
        </w:tc>
        <w:tc>
          <w:tcPr>
            <w:tcW w:w="2552" w:type="dxa"/>
            <w:vAlign w:val="top"/>
          </w:tcPr>
          <w:p>
            <w:pPr>
              <w:ind w:left="1065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英語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7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19</w:t>
            </w:r>
          </w:p>
        </w:tc>
        <w:tc>
          <w:tcPr>
            <w:tcW w:w="2267" w:type="dxa"/>
            <w:vAlign w:val="top"/>
          </w:tcPr>
          <w:p>
            <w:pPr>
              <w:ind w:left="60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外國語學院</w:t>
            </w:r>
          </w:p>
        </w:tc>
        <w:tc>
          <w:tcPr>
            <w:tcW w:w="2552" w:type="dxa"/>
            <w:vAlign w:val="top"/>
          </w:tcPr>
          <w:p>
            <w:pPr>
              <w:ind w:left="645"/>
              <w:spacing w:before="130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英語（師範）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2267" w:type="dxa"/>
            <w:vAlign w:val="top"/>
          </w:tcPr>
          <w:p>
            <w:pPr>
              <w:ind w:left="60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外國語學院</w:t>
            </w:r>
          </w:p>
        </w:tc>
        <w:tc>
          <w:tcPr>
            <w:tcW w:w="2552" w:type="dxa"/>
            <w:vAlign w:val="top"/>
          </w:tcPr>
          <w:p>
            <w:pPr>
              <w:ind w:left="106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法語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1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2267" w:type="dxa"/>
            <w:vAlign w:val="top"/>
          </w:tcPr>
          <w:p>
            <w:pPr>
              <w:ind w:left="605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外國語學院</w:t>
            </w:r>
          </w:p>
        </w:tc>
        <w:tc>
          <w:tcPr>
            <w:tcW w:w="2552" w:type="dxa"/>
            <w:vAlign w:val="top"/>
          </w:tcPr>
          <w:p>
            <w:pPr>
              <w:ind w:left="1102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0"/>
              </w:rPr>
              <w:t>日語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新聞與傳播學院</w:t>
            </w:r>
          </w:p>
        </w:tc>
        <w:tc>
          <w:tcPr>
            <w:tcW w:w="2552" w:type="dxa"/>
            <w:vAlign w:val="top"/>
          </w:tcPr>
          <w:p>
            <w:pPr>
              <w:ind w:left="748"/>
              <w:spacing w:before="130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廣播電視學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新聞與傳播學院</w:t>
            </w:r>
          </w:p>
        </w:tc>
        <w:tc>
          <w:tcPr>
            <w:tcW w:w="2552" w:type="dxa"/>
            <w:vAlign w:val="top"/>
          </w:tcPr>
          <w:p>
            <w:pPr>
              <w:ind w:left="648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網絡與新媒體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2267" w:type="dxa"/>
            <w:vAlign w:val="top"/>
          </w:tcPr>
          <w:p>
            <w:pPr>
              <w:ind w:left="39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新聞與傳播學院</w:t>
            </w:r>
          </w:p>
        </w:tc>
        <w:tc>
          <w:tcPr>
            <w:tcW w:w="2552" w:type="dxa"/>
            <w:vAlign w:val="top"/>
          </w:tcPr>
          <w:p>
            <w:pPr>
              <w:ind w:left="645"/>
              <w:spacing w:before="130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廣播電視編導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藝術學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2267" w:type="dxa"/>
            <w:vAlign w:val="top"/>
          </w:tcPr>
          <w:p>
            <w:pPr>
              <w:ind w:left="435"/>
              <w:spacing w:before="217" w:line="19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新聞與傳播學院</w:t>
            </w:r>
          </w:p>
        </w:tc>
        <w:tc>
          <w:tcPr>
            <w:tcW w:w="2552" w:type="dxa"/>
            <w:vAlign w:val="top"/>
          </w:tcPr>
          <w:p>
            <w:pPr>
              <w:ind w:left="1074" w:right="284" w:hanging="796"/>
              <w:spacing w:before="61" w:line="205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播音與主持藝術（普通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2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5"/>
              </w:rPr>
              <w:t>話）</w:t>
            </w:r>
          </w:p>
        </w:tc>
        <w:tc>
          <w:tcPr>
            <w:tcW w:w="1416" w:type="dxa"/>
            <w:vAlign w:val="top"/>
          </w:tcPr>
          <w:p>
            <w:pPr>
              <w:ind w:left="208"/>
              <w:spacing w:before="217" w:line="19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需校考合格</w:t>
            </w:r>
          </w:p>
        </w:tc>
        <w:tc>
          <w:tcPr>
            <w:tcW w:w="851" w:type="dxa"/>
            <w:vAlign w:val="top"/>
          </w:tcPr>
          <w:p>
            <w:pPr>
              <w:ind w:left="130"/>
              <w:spacing w:before="216" w:line="19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7"/>
              </w:rPr>
              <w:t>藝術學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7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>
        <w:trPr>
          <w:trHeight w:val="475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2267" w:type="dxa"/>
            <w:vAlign w:val="top"/>
          </w:tcPr>
          <w:p>
            <w:pPr>
              <w:ind w:left="435"/>
              <w:spacing w:before="138" w:line="19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新聞與傳播學院</w:t>
            </w:r>
          </w:p>
        </w:tc>
        <w:tc>
          <w:tcPr>
            <w:tcW w:w="2552" w:type="dxa"/>
            <w:vAlign w:val="top"/>
          </w:tcPr>
          <w:p>
            <w:pPr>
              <w:ind w:left="177"/>
              <w:spacing w:before="138" w:line="187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播音與主持藝術（粵語）</w:t>
            </w:r>
          </w:p>
        </w:tc>
        <w:tc>
          <w:tcPr>
            <w:tcW w:w="1416" w:type="dxa"/>
            <w:vAlign w:val="top"/>
          </w:tcPr>
          <w:p>
            <w:pPr>
              <w:ind w:left="208"/>
              <w:spacing w:before="139" w:line="191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</w:rPr>
              <w:t>需校考合格</w:t>
            </w:r>
          </w:p>
        </w:tc>
        <w:tc>
          <w:tcPr>
            <w:tcW w:w="851" w:type="dxa"/>
            <w:vAlign w:val="top"/>
          </w:tcPr>
          <w:p>
            <w:pPr>
              <w:ind w:left="130"/>
              <w:spacing w:before="138" w:line="192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7"/>
              </w:rPr>
              <w:t>藝術學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7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</w:tbl>
    <w:p>
      <w:pPr>
        <w:spacing w:line="81" w:lineRule="exact"/>
        <w:rPr>
          <w:rFonts w:ascii="Arial"/>
          <w:sz w:val="7"/>
        </w:rPr>
      </w:pPr>
      <w:r/>
    </w:p>
    <w:p>
      <w:pPr>
        <w:spacing w:line="81" w:lineRule="exact"/>
        <w:sectPr>
          <w:footerReference w:type="default" r:id="rId12"/>
          <w:pgSz w:w="11907" w:h="16839"/>
          <w:pgMar w:top="1257" w:right="1694" w:bottom="1775" w:left="1699" w:header="0" w:footer="1525" w:gutter="0"/>
        </w:sectPr>
        <w:rPr>
          <w:rFonts w:ascii="Arial" w:hAnsi="Arial" w:eastAsia="Arial" w:cs="Arial"/>
          <w:sz w:val="7"/>
          <w:szCs w:val="7"/>
        </w:rPr>
      </w:pPr>
    </w:p>
    <w:tbl>
      <w:tblPr>
        <w:tblStyle w:val="TableNormal"/>
        <w:tblW w:w="85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552"/>
        <w:gridCol w:w="1416"/>
        <w:gridCol w:w="851"/>
        <w:gridCol w:w="713"/>
      </w:tblGrid>
      <w:tr>
        <w:trPr>
          <w:trHeight w:val="39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37"/>
              <w:spacing w:before="5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序号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0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学院</w:t>
            </w:r>
          </w:p>
        </w:tc>
        <w:tc>
          <w:tcPr>
            <w:tcW w:w="2552" w:type="dxa"/>
            <w:vAlign w:val="top"/>
          </w:tcPr>
          <w:p>
            <w:pPr>
              <w:pStyle w:val="TableText"/>
              <w:ind w:left="839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专业名称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27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专业限制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216"/>
              <w:spacing w:before="8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学制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4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05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工程管理</w:t>
            </w:r>
          </w:p>
        </w:tc>
        <w:tc>
          <w:tcPr>
            <w:tcW w:w="1416" w:type="dxa"/>
            <w:vAlign w:val="top"/>
          </w:tcPr>
          <w:p>
            <w:pPr>
              <w:ind w:left="290" w:right="178" w:hanging="105"/>
              <w:spacing w:before="48" w:line="190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不招單色識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別不全者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5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6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4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4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04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工商管理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5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2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4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4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61"/>
              <w:spacing w:before="20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市場營銷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5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5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8" w:line="174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20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會計學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6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7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5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3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0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物流管理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6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6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20" w:line="173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20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電子商務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9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9" w:line="173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10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旅遊管理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10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8"/>
              <w:spacing w:before="46" w:line="195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管理學院</w:t>
            </w:r>
            <w:r>
              <w:rPr>
                <w:sz w:val="21"/>
                <w:szCs w:val="21"/>
                <w:spacing w:val="-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旅遊學院</w:t>
            </w:r>
            <w:r>
              <w:rPr>
                <w:sz w:val="21"/>
                <w:szCs w:val="21"/>
                <w:spacing w:val="-1"/>
              </w:rPr>
              <w:t>/</w:t>
            </w:r>
          </w:p>
          <w:p>
            <w:pPr>
              <w:pStyle w:val="TableText"/>
              <w:ind w:left="472"/>
              <w:spacing w:before="18" w:line="173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4"/>
              </w:rPr>
              <w:t>中法旅遊學院</w:t>
            </w:r>
            <w:r>
              <w:rPr>
                <w:sz w:val="21"/>
                <w:szCs w:val="21"/>
                <w:spacing w:val="-4"/>
              </w:rPr>
              <w:t>)</w:t>
            </w:r>
          </w:p>
        </w:tc>
        <w:tc>
          <w:tcPr>
            <w:tcW w:w="2552" w:type="dxa"/>
            <w:vAlign w:val="top"/>
          </w:tcPr>
          <w:p>
            <w:pPr>
              <w:pStyle w:val="TableText"/>
              <w:ind w:left="119"/>
              <w:spacing w:before="202" w:line="194" w:lineRule="auto"/>
              <w:rPr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旅遊管理</w:t>
            </w:r>
            <w:r>
              <w:rPr>
                <w:sz w:val="21"/>
                <w:szCs w:val="21"/>
              </w:rPr>
              <w:t>(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中外合作辦學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20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0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</w:t>
            </w:r>
          </w:p>
        </w:tc>
        <w:tc>
          <w:tcPr>
            <w:tcW w:w="2267" w:type="dxa"/>
            <w:vAlign w:val="top"/>
          </w:tcPr>
          <w:p>
            <w:pPr>
              <w:ind w:left="502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公共管理學院</w:t>
            </w:r>
          </w:p>
        </w:tc>
        <w:tc>
          <w:tcPr>
            <w:tcW w:w="2552" w:type="dxa"/>
            <w:vAlign w:val="top"/>
          </w:tcPr>
          <w:p>
            <w:pPr>
              <w:ind w:left="960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社會學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21"/>
              <w:spacing w:before="128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0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</w:t>
            </w:r>
          </w:p>
        </w:tc>
        <w:tc>
          <w:tcPr>
            <w:tcW w:w="2267" w:type="dxa"/>
            <w:vAlign w:val="top"/>
          </w:tcPr>
          <w:p>
            <w:pPr>
              <w:ind w:left="502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公共管理學院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行政管理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116"/>
              <w:spacing w:before="128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0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9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數學與信息科學學院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129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數學與應用數學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9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38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數學與信息科學學院</w:t>
            </w:r>
          </w:p>
        </w:tc>
        <w:tc>
          <w:tcPr>
            <w:tcW w:w="2552" w:type="dxa"/>
            <w:vAlign w:val="top"/>
          </w:tcPr>
          <w:p>
            <w:pPr>
              <w:ind w:left="119"/>
              <w:spacing w:before="129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數學與應用數學（師範）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39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數學與信息科學學院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信息與計算科學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40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數學與信息科學學院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信息安全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41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物理與材料科學學院</w:t>
            </w:r>
          </w:p>
        </w:tc>
        <w:tc>
          <w:tcPr>
            <w:tcW w:w="2552" w:type="dxa"/>
            <w:vAlign w:val="top"/>
          </w:tcPr>
          <w:p>
            <w:pPr>
              <w:ind w:left="960"/>
              <w:spacing w:before="130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42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物理與材料科學學院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130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物理學（師範）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43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物理與材料科學學院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130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天文學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44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物理與材料科學學院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材料科學與工程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45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物理與材料科學學院</w:t>
            </w:r>
          </w:p>
        </w:tc>
        <w:tc>
          <w:tcPr>
            <w:tcW w:w="2552" w:type="dxa"/>
            <w:vAlign w:val="top"/>
          </w:tcPr>
          <w:p>
            <w:pPr>
              <w:ind w:left="331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光電信息科學與工程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46</w:t>
            </w:r>
          </w:p>
        </w:tc>
        <w:tc>
          <w:tcPr>
            <w:tcW w:w="2267" w:type="dxa"/>
            <w:vAlign w:val="top"/>
          </w:tcPr>
          <w:p>
            <w:pPr>
              <w:ind w:left="502"/>
              <w:spacing w:before="20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化學化工學院</w:t>
            </w:r>
          </w:p>
        </w:tc>
        <w:tc>
          <w:tcPr>
            <w:tcW w:w="2552" w:type="dxa"/>
            <w:vAlign w:val="top"/>
          </w:tcPr>
          <w:p>
            <w:pPr>
              <w:ind w:left="1065"/>
              <w:spacing w:before="209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化學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4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1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253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47</w:t>
            </w:r>
          </w:p>
        </w:tc>
        <w:tc>
          <w:tcPr>
            <w:tcW w:w="2267" w:type="dxa"/>
            <w:vAlign w:val="top"/>
          </w:tcPr>
          <w:p>
            <w:pPr>
              <w:ind w:left="502"/>
              <w:spacing w:before="211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化學化工學院</w:t>
            </w:r>
          </w:p>
        </w:tc>
        <w:tc>
          <w:tcPr>
            <w:tcW w:w="2552" w:type="dxa"/>
            <w:vAlign w:val="top"/>
          </w:tcPr>
          <w:p>
            <w:pPr>
              <w:ind w:left="645"/>
              <w:spacing w:before="212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化學（師範）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6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12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9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48</w:t>
            </w:r>
          </w:p>
        </w:tc>
        <w:tc>
          <w:tcPr>
            <w:tcW w:w="2267" w:type="dxa"/>
            <w:vAlign w:val="top"/>
          </w:tcPr>
          <w:p>
            <w:pPr>
              <w:ind w:left="502"/>
              <w:spacing w:before="20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化學化工學院</w:t>
            </w:r>
          </w:p>
        </w:tc>
        <w:tc>
          <w:tcPr>
            <w:tcW w:w="2552" w:type="dxa"/>
            <w:vAlign w:val="top"/>
          </w:tcPr>
          <w:p>
            <w:pPr>
              <w:ind w:left="539"/>
              <w:spacing w:before="20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化學工程與工藝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3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1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58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49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地理科學與遙感學院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31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5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2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地理科學與遙感學院</w:t>
            </w:r>
          </w:p>
        </w:tc>
        <w:tc>
          <w:tcPr>
            <w:tcW w:w="2552" w:type="dxa"/>
            <w:vAlign w:val="top"/>
          </w:tcPr>
          <w:p>
            <w:pPr>
              <w:ind w:left="434"/>
              <w:spacing w:before="130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地理科學（師範）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31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31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8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7" w:h="16839"/>
          <w:pgMar w:top="1132" w:right="1694" w:bottom="1775" w:left="1699" w:header="0" w:footer="1525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85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552"/>
        <w:gridCol w:w="1416"/>
        <w:gridCol w:w="851"/>
        <w:gridCol w:w="713"/>
      </w:tblGrid>
      <w:tr>
        <w:trPr>
          <w:trHeight w:val="39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37"/>
              <w:spacing w:before="5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序号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0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学院</w:t>
            </w:r>
          </w:p>
        </w:tc>
        <w:tc>
          <w:tcPr>
            <w:tcW w:w="2552" w:type="dxa"/>
            <w:vAlign w:val="top"/>
          </w:tcPr>
          <w:p>
            <w:pPr>
              <w:pStyle w:val="TableText"/>
              <w:ind w:left="839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专业名称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27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专业限制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216"/>
              <w:spacing w:before="8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学制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64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3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地理科學與遙感學院</w:t>
            </w:r>
          </w:p>
        </w:tc>
        <w:tc>
          <w:tcPr>
            <w:tcW w:w="2552" w:type="dxa"/>
            <w:vAlign w:val="top"/>
          </w:tcPr>
          <w:p>
            <w:pPr>
              <w:ind w:left="331"/>
              <w:spacing w:before="123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人文地理與城鄉規劃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2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24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1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6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地理科學與遙感學院</w:t>
            </w:r>
          </w:p>
        </w:tc>
        <w:tc>
          <w:tcPr>
            <w:tcW w:w="2552" w:type="dxa"/>
            <w:vAlign w:val="top"/>
          </w:tcPr>
          <w:p>
            <w:pPr>
              <w:ind w:left="645"/>
              <w:spacing w:before="12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地理信息科學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2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26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67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地理科學與遙感學院</w:t>
            </w:r>
          </w:p>
        </w:tc>
        <w:tc>
          <w:tcPr>
            <w:tcW w:w="2552" w:type="dxa"/>
            <w:vAlign w:val="top"/>
          </w:tcPr>
          <w:p>
            <w:pPr>
              <w:ind w:left="543"/>
              <w:spacing w:before="12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遙感科學與技術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2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26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6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54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204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生命科學學院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20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生物科學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5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2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8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55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205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生命科學學院</w:t>
            </w:r>
          </w:p>
        </w:tc>
        <w:tc>
          <w:tcPr>
            <w:tcW w:w="2552" w:type="dxa"/>
            <w:vAlign w:val="top"/>
          </w:tcPr>
          <w:p>
            <w:pPr>
              <w:ind w:left="437"/>
              <w:spacing w:before="205" w:line="181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生物科學（師範）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6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3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248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56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20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生命科學學院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206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生物製藥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6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71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57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機械與電氣工程學院</w:t>
            </w:r>
          </w:p>
        </w:tc>
        <w:tc>
          <w:tcPr>
            <w:tcW w:w="2552" w:type="dxa"/>
            <w:vAlign w:val="top"/>
          </w:tcPr>
          <w:p>
            <w:pPr>
              <w:ind w:left="119"/>
              <w:spacing w:before="128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機械設計製造及其自動化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6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58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機械與電氣工程學院</w:t>
            </w:r>
          </w:p>
        </w:tc>
        <w:tc>
          <w:tcPr>
            <w:tcW w:w="2552" w:type="dxa"/>
            <w:vAlign w:val="top"/>
          </w:tcPr>
          <w:p>
            <w:pPr>
              <w:ind w:left="648"/>
              <w:spacing w:before="128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智能製造工程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3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59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機械與電氣工程學院</w:t>
            </w:r>
          </w:p>
        </w:tc>
        <w:tc>
          <w:tcPr>
            <w:tcW w:w="2552" w:type="dxa"/>
            <w:vAlign w:val="top"/>
          </w:tcPr>
          <w:p>
            <w:pPr>
              <w:ind w:left="331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電氣工程及其自動化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60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機械與電氣工程學院</w:t>
            </w:r>
          </w:p>
        </w:tc>
        <w:tc>
          <w:tcPr>
            <w:tcW w:w="2552" w:type="dxa"/>
            <w:vAlign w:val="top"/>
          </w:tcPr>
          <w:p>
            <w:pPr>
              <w:ind w:left="74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機器人工程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68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61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電子與通信工程學院</w:t>
            </w:r>
          </w:p>
        </w:tc>
        <w:tc>
          <w:tcPr>
            <w:tcW w:w="2552" w:type="dxa"/>
            <w:vAlign w:val="top"/>
          </w:tcPr>
          <w:p>
            <w:pPr>
              <w:ind w:left="648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電子信息工程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62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電子與通信工程學院</w:t>
            </w:r>
          </w:p>
        </w:tc>
        <w:tc>
          <w:tcPr>
            <w:tcW w:w="2552" w:type="dxa"/>
            <w:vAlign w:val="top"/>
          </w:tcPr>
          <w:p>
            <w:pPr>
              <w:ind w:left="861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通信工程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63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電子與通信工程學院</w:t>
            </w:r>
          </w:p>
        </w:tc>
        <w:tc>
          <w:tcPr>
            <w:tcW w:w="2552" w:type="dxa"/>
            <w:vAlign w:val="top"/>
          </w:tcPr>
          <w:p>
            <w:pPr>
              <w:ind w:left="74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物聯網工程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64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電子與通信工程學院</w:t>
            </w:r>
          </w:p>
        </w:tc>
        <w:tc>
          <w:tcPr>
            <w:tcW w:w="2552" w:type="dxa"/>
            <w:vAlign w:val="top"/>
          </w:tcPr>
          <w:p>
            <w:pPr>
              <w:ind w:left="123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集成電路設計與集成系統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5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65</w:t>
            </w:r>
          </w:p>
        </w:tc>
        <w:tc>
          <w:tcPr>
            <w:tcW w:w="2267" w:type="dxa"/>
            <w:vAlign w:val="top"/>
          </w:tcPr>
          <w:p>
            <w:pPr>
              <w:ind w:left="816" w:right="185" w:hanging="631"/>
              <w:spacing w:before="53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計算機科學與網絡工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程學院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21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人工智能</w:t>
            </w:r>
          </w:p>
        </w:tc>
        <w:tc>
          <w:tcPr>
            <w:tcW w:w="1416" w:type="dxa"/>
            <w:vAlign w:val="top"/>
          </w:tcPr>
          <w:p>
            <w:pPr>
              <w:ind w:left="290" w:right="178" w:hanging="105"/>
              <w:spacing w:before="53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不招單色識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別不全者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9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8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66</w:t>
            </w:r>
          </w:p>
        </w:tc>
        <w:tc>
          <w:tcPr>
            <w:tcW w:w="2267" w:type="dxa"/>
            <w:vAlign w:val="top"/>
          </w:tcPr>
          <w:p>
            <w:pPr>
              <w:ind w:left="816" w:right="185" w:hanging="631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計算機科學與網絡工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程學院</w:t>
            </w:r>
          </w:p>
        </w:tc>
        <w:tc>
          <w:tcPr>
            <w:tcW w:w="2552" w:type="dxa"/>
            <w:vAlign w:val="top"/>
          </w:tcPr>
          <w:p>
            <w:pPr>
              <w:ind w:left="434"/>
              <w:spacing w:before="206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計算機科學與技術</w:t>
            </w:r>
          </w:p>
        </w:tc>
        <w:tc>
          <w:tcPr>
            <w:tcW w:w="1416" w:type="dxa"/>
            <w:vAlign w:val="top"/>
          </w:tcPr>
          <w:p>
            <w:pPr>
              <w:ind w:left="290" w:right="178" w:hanging="105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不招單色識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別不全者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4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67</w:t>
            </w:r>
          </w:p>
        </w:tc>
        <w:tc>
          <w:tcPr>
            <w:tcW w:w="2267" w:type="dxa"/>
            <w:vAlign w:val="top"/>
          </w:tcPr>
          <w:p>
            <w:pPr>
              <w:ind w:left="816" w:right="185" w:hanging="631"/>
              <w:spacing w:before="50" w:line="189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計算機科學與網絡工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程學院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0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軟件工程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20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24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68</w:t>
            </w:r>
          </w:p>
        </w:tc>
        <w:tc>
          <w:tcPr>
            <w:tcW w:w="2267" w:type="dxa"/>
            <w:vAlign w:val="top"/>
          </w:tcPr>
          <w:p>
            <w:pPr>
              <w:ind w:left="816" w:right="185" w:hanging="631"/>
              <w:spacing w:before="53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計算機科學與網絡工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程學院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20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2"/>
              </w:rPr>
              <w:t>網絡工程</w:t>
            </w:r>
          </w:p>
        </w:tc>
        <w:tc>
          <w:tcPr>
            <w:tcW w:w="1416" w:type="dxa"/>
            <w:vAlign w:val="top"/>
          </w:tcPr>
          <w:p>
            <w:pPr>
              <w:ind w:left="290" w:right="178" w:hanging="105"/>
              <w:spacing w:before="53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不招單色識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別不全者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1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</w:t>
            </w:r>
          </w:p>
        </w:tc>
        <w:tc>
          <w:tcPr>
            <w:tcW w:w="2267" w:type="dxa"/>
            <w:vAlign w:val="top"/>
          </w:tcPr>
          <w:p>
            <w:pPr>
              <w:ind w:left="294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網絡空間安全學院</w:t>
            </w:r>
          </w:p>
        </w:tc>
        <w:tc>
          <w:tcPr>
            <w:tcW w:w="2552" w:type="dxa"/>
            <w:vAlign w:val="top"/>
          </w:tcPr>
          <w:p>
            <w:pPr>
              <w:ind w:left="648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網絡空間安全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70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建築與城市規劃學院</w:t>
            </w:r>
          </w:p>
        </w:tc>
        <w:tc>
          <w:tcPr>
            <w:tcW w:w="2552" w:type="dxa"/>
            <w:vAlign w:val="top"/>
          </w:tcPr>
          <w:p>
            <w:pPr>
              <w:ind w:left="963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建築學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2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10"/>
              <w:spacing w:before="166" w:line="18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70" w:line="18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71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建築與城市規劃學院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29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城鄉規劃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10"/>
              <w:spacing w:before="169" w:line="18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</w:t>
            </w:r>
          </w:p>
        </w:tc>
        <w:tc>
          <w:tcPr>
            <w:tcW w:w="2267" w:type="dxa"/>
            <w:vAlign w:val="top"/>
          </w:tcPr>
          <w:p>
            <w:pPr>
              <w:ind w:left="188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建築與城市規劃學院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風景園林</w:t>
            </w:r>
          </w:p>
        </w:tc>
        <w:tc>
          <w:tcPr>
            <w:tcW w:w="1416" w:type="dxa"/>
            <w:vAlign w:val="top"/>
          </w:tcPr>
          <w:p>
            <w:pPr>
              <w:ind w:left="290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10"/>
              <w:spacing w:before="166" w:line="18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71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73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土木工程學院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土木工程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74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12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土木工程學院</w:t>
            </w:r>
          </w:p>
        </w:tc>
        <w:tc>
          <w:tcPr>
            <w:tcW w:w="2552" w:type="dxa"/>
            <w:vAlign w:val="top"/>
          </w:tcPr>
          <w:p>
            <w:pPr>
              <w:ind w:left="123"/>
              <w:spacing w:before="128" w:line="185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建築環境與能源應用工程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72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129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土木工程學院</w:t>
            </w:r>
          </w:p>
        </w:tc>
        <w:tc>
          <w:tcPr>
            <w:tcW w:w="2552" w:type="dxa"/>
            <w:vAlign w:val="top"/>
          </w:tcPr>
          <w:p>
            <w:pPr>
              <w:ind w:left="437"/>
              <w:spacing w:before="130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給排水科學與工程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30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7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2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76</w:t>
            </w:r>
          </w:p>
        </w:tc>
        <w:tc>
          <w:tcPr>
            <w:tcW w:w="2267" w:type="dxa"/>
            <w:vAlign w:val="top"/>
          </w:tcPr>
          <w:p>
            <w:pPr>
              <w:ind w:left="505"/>
              <w:spacing w:before="127" w:line="187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土木工程學院</w:t>
            </w:r>
          </w:p>
        </w:tc>
        <w:tc>
          <w:tcPr>
            <w:tcW w:w="2552" w:type="dxa"/>
            <w:vAlign w:val="top"/>
          </w:tcPr>
          <w:p>
            <w:pPr>
              <w:ind w:left="857"/>
              <w:spacing w:before="128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交通工程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8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</w:tbl>
    <w:p>
      <w:pPr>
        <w:spacing w:line="67" w:lineRule="exact"/>
        <w:rPr>
          <w:rFonts w:ascii="Arial"/>
          <w:sz w:val="5"/>
        </w:rPr>
      </w:pPr>
      <w:r/>
    </w:p>
    <w:p>
      <w:pPr>
        <w:spacing w:line="67" w:lineRule="exact"/>
        <w:sectPr>
          <w:footerReference w:type="default" r:id="rId14"/>
          <w:pgSz w:w="11907" w:h="16839"/>
          <w:pgMar w:top="1132" w:right="1694" w:bottom="1775" w:left="1699" w:header="0" w:footer="1527" w:gutter="0"/>
        </w:sectPr>
        <w:rPr>
          <w:rFonts w:ascii="Arial" w:hAnsi="Arial" w:eastAsia="Arial" w:cs="Arial"/>
          <w:sz w:val="5"/>
          <w:szCs w:val="5"/>
        </w:rPr>
      </w:pPr>
    </w:p>
    <w:tbl>
      <w:tblPr>
        <w:tblStyle w:val="TableNormal"/>
        <w:tblW w:w="85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8"/>
        <w:gridCol w:w="2267"/>
        <w:gridCol w:w="2552"/>
        <w:gridCol w:w="1416"/>
        <w:gridCol w:w="851"/>
        <w:gridCol w:w="713"/>
      </w:tblGrid>
      <w:tr>
        <w:trPr>
          <w:trHeight w:val="396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137"/>
              <w:spacing w:before="52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序号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0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6"/>
              </w:rPr>
              <w:t>学院</w:t>
            </w:r>
          </w:p>
        </w:tc>
        <w:tc>
          <w:tcPr>
            <w:tcW w:w="2552" w:type="dxa"/>
            <w:vAlign w:val="top"/>
          </w:tcPr>
          <w:p>
            <w:pPr>
              <w:pStyle w:val="TableText"/>
              <w:ind w:left="839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专业名称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27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4"/>
              </w:rPr>
              <w:t>专业限制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216"/>
              <w:spacing w:before="88" w:line="22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2"/>
              <w:spacing w:before="88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b/>
                <w:bCs/>
                <w:spacing w:val="-9"/>
              </w:rPr>
              <w:t>学制</w:t>
            </w:r>
          </w:p>
        </w:tc>
      </w:tr>
      <w:tr>
        <w:trPr>
          <w:trHeight w:val="627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250" w:line="18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77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20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環境科學與工程學院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20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環境工程</w:t>
            </w:r>
          </w:p>
        </w:tc>
        <w:tc>
          <w:tcPr>
            <w:tcW w:w="1416" w:type="dxa"/>
            <w:vAlign w:val="top"/>
          </w:tcPr>
          <w:p>
            <w:pPr>
              <w:ind w:left="612" w:right="178" w:hanging="427"/>
              <w:spacing w:before="52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不招色盲色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弱</w:t>
            </w:r>
          </w:p>
        </w:tc>
        <w:tc>
          <w:tcPr>
            <w:tcW w:w="851" w:type="dxa"/>
            <w:vAlign w:val="top"/>
          </w:tcPr>
          <w:p>
            <w:pPr>
              <w:ind w:left="218"/>
              <w:spacing w:before="20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24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  <w:tr>
        <w:trPr>
          <w:trHeight w:val="471" w:hRule="atLeast"/>
        </w:trPr>
        <w:tc>
          <w:tcPr>
            <w:tcW w:w="708" w:type="dxa"/>
            <w:vAlign w:val="top"/>
          </w:tcPr>
          <w:p>
            <w:pPr>
              <w:pStyle w:val="TableText"/>
              <w:ind w:left="264"/>
              <w:spacing w:before="169" w:line="18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78</w:t>
            </w:r>
          </w:p>
        </w:tc>
        <w:tc>
          <w:tcPr>
            <w:tcW w:w="2267" w:type="dxa"/>
            <w:vAlign w:val="top"/>
          </w:tcPr>
          <w:p>
            <w:pPr>
              <w:ind w:left="185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環境科學與工程學院</w:t>
            </w:r>
          </w:p>
        </w:tc>
        <w:tc>
          <w:tcPr>
            <w:tcW w:w="2552" w:type="dxa"/>
            <w:vAlign w:val="top"/>
          </w:tcPr>
          <w:p>
            <w:pPr>
              <w:ind w:left="854"/>
              <w:spacing w:before="127" w:line="186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</w:rPr>
              <w:t>環境科學</w:t>
            </w: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218"/>
              <w:spacing w:before="127" w:line="188" w:lineRule="auto"/>
              <w:rPr>
                <w:rFonts w:ascii="Microsoft YaHei" w:hAnsi="Microsoft YaHei" w:eastAsia="Microsoft YaHei" w:cs="Microsoft YaHei"/>
                <w:sz w:val="21"/>
                <w:szCs w:val="21"/>
              </w:rPr>
            </w:pPr>
            <w:r>
              <w:rPr>
                <w:rFonts w:ascii="Microsoft YaHei" w:hAnsi="Microsoft YaHei" w:eastAsia="Microsoft YaHei" w:cs="Microsoft YaHei"/>
                <w:sz w:val="21"/>
                <w:szCs w:val="21"/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305"/>
              <w:spacing w:before="165" w:line="18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</w:tr>
    </w:tbl>
    <w:p>
      <w:pPr>
        <w:pStyle w:val="BodyText"/>
        <w:ind w:left="657"/>
        <w:spacing w:before="239" w:line="185" w:lineRule="auto"/>
        <w:rPr>
          <w:sz w:val="18"/>
          <w:szCs w:val="18"/>
        </w:rPr>
      </w:pPr>
      <w:r>
        <w:rPr>
          <w:sz w:val="18"/>
          <w:szCs w:val="18"/>
        </w:rPr>
        <w:t>備註：以上專業若有調整，已實際發出錄取通</w:t>
      </w:r>
      <w:r>
        <w:rPr>
          <w:sz w:val="18"/>
          <w:szCs w:val="18"/>
          <w:spacing w:val="-1"/>
        </w:rPr>
        <w:t>知書為准</w:t>
      </w:r>
    </w:p>
    <w:sectPr>
      <w:footerReference w:type="default" r:id="rId15"/>
      <w:pgSz w:w="11907" w:h="16839"/>
      <w:pgMar w:top="1132" w:right="1694" w:bottom="1775" w:left="1699" w:header="0" w:footer="152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52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5"/>
      </w:rPr>
      <w:t>1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5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5"/>
      </w:rPr>
      <w:t>14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7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2</w:t>
    </w:r>
    <w:r>
      <w:rPr>
        <w:rFonts w:ascii="DengXian" w:hAnsi="DengXian" w:eastAsia="DengXian" w:cs="DengXian"/>
        <w:sz w:val="18"/>
        <w:szCs w:val="18"/>
        <w:b/>
        <w:bCs/>
        <w:spacing w:val="43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5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3</w:t>
    </w:r>
    <w:r>
      <w:rPr>
        <w:rFonts w:ascii="DengXian" w:hAnsi="DengXian" w:eastAsia="DengXian" w:cs="DengXian"/>
        <w:sz w:val="18"/>
        <w:szCs w:val="18"/>
        <w:b/>
        <w:bCs/>
        <w:spacing w:val="45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2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3"/>
      </w:rPr>
      <w:t>4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3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3"/>
      </w:rPr>
      <w:t>14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7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5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7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6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8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7</w:t>
    </w:r>
    <w:r>
      <w:rPr>
        <w:rFonts w:ascii="DengXian" w:hAnsi="DengXian" w:eastAsia="DengXian" w:cs="DengXian"/>
        <w:sz w:val="18"/>
        <w:szCs w:val="18"/>
        <w:b/>
        <w:bCs/>
        <w:spacing w:val="43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7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8</w:t>
    </w:r>
    <w:r>
      <w:rPr>
        <w:rFonts w:ascii="DengXian" w:hAnsi="DengXian" w:eastAsia="DengXian" w:cs="DengXian"/>
        <w:sz w:val="18"/>
        <w:szCs w:val="18"/>
        <w:b/>
        <w:bCs/>
        <w:spacing w:val="44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1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6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9</w:t>
    </w:r>
    <w:r>
      <w:rPr>
        <w:rFonts w:ascii="DengXian" w:hAnsi="DengXian" w:eastAsia="DengXian" w:cs="DengXian"/>
        <w:sz w:val="18"/>
        <w:szCs w:val="18"/>
        <w:b/>
        <w:bCs/>
        <w:spacing w:val="44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04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10</w:t>
    </w:r>
    <w:r>
      <w:rPr>
        <w:rFonts w:ascii="DengXian" w:hAnsi="DengXian" w:eastAsia="DengXian" w:cs="DengXian"/>
        <w:sz w:val="18"/>
        <w:szCs w:val="18"/>
        <w:b/>
        <w:bCs/>
        <w:spacing w:val="40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2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0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11</w:t>
    </w:r>
    <w:r>
      <w:rPr>
        <w:rFonts w:ascii="DengXian" w:hAnsi="DengXian" w:eastAsia="DengXian" w:cs="DengXian"/>
        <w:sz w:val="18"/>
        <w:szCs w:val="18"/>
        <w:b/>
        <w:bCs/>
        <w:spacing w:val="40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2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0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12</w:t>
    </w:r>
    <w:r>
      <w:rPr>
        <w:rFonts w:ascii="DengXian" w:hAnsi="DengXian" w:eastAsia="DengXian" w:cs="DengXian"/>
        <w:sz w:val="18"/>
        <w:szCs w:val="18"/>
        <w:b/>
        <w:bCs/>
        <w:spacing w:val="40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2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0"/>
      <w:spacing w:line="234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13</w:t>
    </w:r>
    <w:r>
      <w:rPr>
        <w:rFonts w:ascii="DengXian" w:hAnsi="DengXian" w:eastAsia="DengXian" w:cs="DengXian"/>
        <w:sz w:val="18"/>
        <w:szCs w:val="18"/>
        <w:b/>
        <w:bCs/>
        <w:spacing w:val="40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2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90"/>
      <w:spacing w:line="236" w:lineRule="auto"/>
      <w:rPr>
        <w:rFonts w:ascii="DengXian" w:hAnsi="DengXian" w:eastAsia="DengXian" w:cs="DengXian"/>
        <w:sz w:val="18"/>
        <w:szCs w:val="18"/>
      </w:rPr>
    </w:pP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  <w:r>
      <w:rPr>
        <w:rFonts w:ascii="DengXian" w:hAnsi="DengXian" w:eastAsia="DengXian" w:cs="DengXian"/>
        <w:sz w:val="18"/>
        <w:szCs w:val="18"/>
        <w:b/>
        <w:bCs/>
        <w:spacing w:val="40"/>
        <w:w w:val="101"/>
      </w:rPr>
      <w:t xml:space="preserve"> </w:t>
    </w:r>
    <w:r>
      <w:rPr>
        <w:rFonts w:ascii="DengXian" w:hAnsi="DengXian" w:eastAsia="DengXian" w:cs="DengXian"/>
        <w:sz w:val="18"/>
        <w:szCs w:val="18"/>
        <w:spacing w:val="-4"/>
      </w:rPr>
      <w:t>/</w:t>
    </w:r>
    <w:r>
      <w:rPr>
        <w:rFonts w:ascii="DengXian" w:hAnsi="DengXian" w:eastAsia="DengXian" w:cs="DengXian"/>
        <w:sz w:val="18"/>
        <w:szCs w:val="18"/>
        <w:spacing w:val="2"/>
      </w:rPr>
      <w:t xml:space="preserve">  </w:t>
    </w:r>
    <w:r>
      <w:rPr>
        <w:rFonts w:ascii="DengXian" w:hAnsi="DengXian" w:eastAsia="DengXian" w:cs="DengXian"/>
        <w:sz w:val="18"/>
        <w:szCs w:val="18"/>
        <w:b/>
        <w:bCs/>
        <w:spacing w:val="-4"/>
      </w:rPr>
      <w:t>14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footer" Target="footer14.xml"/><Relationship Id="rId14" Type="http://schemas.openxmlformats.org/officeDocument/2006/relationships/footer" Target="footer13.xml"/><Relationship Id="rId13" Type="http://schemas.openxmlformats.org/officeDocument/2006/relationships/footer" Target="footer12.xml"/><Relationship Id="rId12" Type="http://schemas.openxmlformats.org/officeDocument/2006/relationships/footer" Target="footer11.xml"/><Relationship Id="rId11" Type="http://schemas.openxmlformats.org/officeDocument/2006/relationships/footer" Target="footer10.xml"/><Relationship Id="rId10" Type="http://schemas.openxmlformats.org/officeDocument/2006/relationships/hyperlink" Target="https://www.gatzs.com.cn" TargetMode="Externa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LTSC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潘震山</dc:creator>
  <dcterms:created xsi:type="dcterms:W3CDTF">2024-04-15T09:15:33Z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2025-01-06T17:00:28</vt:filetime>
  </property>
</Properties>
</file>